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outlineLvl w:val="9"/>
        <w:rPr>
          <w:rFonts w:hint="eastAsia" w:ascii="Arial" w:hAnsi="Arial" w:eastAsia="宋体" w:cs="Arial"/>
          <w:b w:val="0"/>
          <w:i w:val="0"/>
          <w:caps w:val="0"/>
          <w:color w:val="333333"/>
          <w:spacing w:val="0"/>
          <w:kern w:val="2"/>
          <w:sz w:val="21"/>
          <w:szCs w:val="21"/>
          <w:shd w:val="clear" w:fill="FFFFFF"/>
          <w:lang w:val="en-US" w:eastAsia="zh-CN" w:bidi="ar-SA"/>
        </w:rPr>
      </w:pPr>
      <w:r>
        <w:rPr>
          <w:rFonts w:hint="eastAsia" w:ascii="Arial" w:hAnsi="Arial" w:eastAsia="宋体" w:cs="Arial"/>
          <w:b/>
          <w:bCs/>
          <w:i w:val="0"/>
          <w:caps w:val="0"/>
          <w:color w:val="333333"/>
          <w:spacing w:val="0"/>
          <w:kern w:val="2"/>
          <w:sz w:val="28"/>
          <w:szCs w:val="28"/>
          <w:shd w:val="clear" w:fill="FFFFFF"/>
          <w:lang w:val="en-US" w:eastAsia="zh-CN" w:bidi="ar-SA"/>
        </w:rPr>
        <w:t>地下车库CO浓度监测及与排风设备联动设计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outlineLvl w:val="9"/>
        <w:rPr>
          <w:rFonts w:hint="eastAsia" w:ascii="Arial" w:hAnsi="Arial" w:eastAsia="宋体" w:cs="Arial"/>
          <w:b w:val="0"/>
          <w:i w:val="0"/>
          <w:caps w:val="0"/>
          <w:color w:val="333333"/>
          <w:spacing w:val="0"/>
          <w:kern w:val="2"/>
          <w:sz w:val="21"/>
          <w:szCs w:val="21"/>
          <w:shd w:val="clear" w:fill="FFFFFF"/>
          <w:lang w:val="en-US" w:eastAsia="zh-CN" w:bidi="ar-SA"/>
        </w:rPr>
      </w:pPr>
      <w:r>
        <w:rPr>
          <w:rFonts w:hint="eastAsia" w:ascii="Arial" w:hAnsi="Arial" w:eastAsia="宋体" w:cs="Arial"/>
          <w:b w:val="0"/>
          <w:i w:val="0"/>
          <w:caps w:val="0"/>
          <w:color w:val="333333"/>
          <w:spacing w:val="0"/>
          <w:kern w:val="2"/>
          <w:sz w:val="21"/>
          <w:szCs w:val="21"/>
          <w:shd w:val="clear" w:fill="FFFFFF"/>
          <w:lang w:val="en-US" w:eastAsia="zh-CN" w:bidi="ar-SA"/>
        </w:rPr>
        <w:t>摘要： 电气专业如何实现对地下车库一氧化碳浓度监测并联动排风机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outlineLvl w:val="9"/>
        <w:rPr>
          <w:rFonts w:hint="eastAsia" w:ascii="Arial" w:hAnsi="Arial" w:eastAsia="宋体" w:cs="Arial"/>
          <w:b w:val="0"/>
          <w:i w:val="0"/>
          <w:caps w:val="0"/>
          <w:color w:val="333333"/>
          <w:spacing w:val="0"/>
          <w:kern w:val="2"/>
          <w:sz w:val="21"/>
          <w:szCs w:val="21"/>
          <w:shd w:val="clear" w:fill="FFFFFF"/>
          <w:lang w:val="en-US" w:eastAsia="zh-CN" w:bidi="ar-SA"/>
        </w:rPr>
      </w:pPr>
      <w:r>
        <w:rPr>
          <w:rFonts w:hint="eastAsia" w:ascii="Arial" w:hAnsi="Arial" w:eastAsia="宋体" w:cs="Arial"/>
          <w:b w:val="0"/>
          <w:i w:val="0"/>
          <w:caps w:val="0"/>
          <w:color w:val="333333"/>
          <w:spacing w:val="0"/>
          <w:kern w:val="2"/>
          <w:sz w:val="21"/>
          <w:szCs w:val="21"/>
          <w:shd w:val="clear" w:fill="FFFFFF"/>
          <w:lang w:val="en-US" w:eastAsia="zh-CN" w:bidi="ar-SA"/>
        </w:rPr>
        <w:t>关键词： 地下车库 CO 浓度监测； 排风机联动控制</w:t>
      </w:r>
    </w:p>
    <w:sdt>
      <w:sdtPr>
        <w:rPr>
          <w:rFonts w:ascii="宋体" w:hAnsi="宋体" w:eastAsia="宋体" w:cstheme="minorBidi"/>
          <w:kern w:val="2"/>
          <w:sz w:val="21"/>
          <w:szCs w:val="24"/>
          <w:lang w:val="en-US" w:eastAsia="zh-CN" w:bidi="ar-SA"/>
        </w:rPr>
        <w:id w:val="147451676"/>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5"/>
            <w:tabs>
              <w:tab w:val="right" w:leader="dot" w:pos="8306"/>
            </w:tabs>
          </w:pPr>
          <w:r>
            <w:fldChar w:fldCharType="begin"/>
          </w:r>
          <w:r>
            <w:instrText xml:space="preserve">TOC \o "1-3" \h \u </w:instrText>
          </w:r>
          <w:r>
            <w:fldChar w:fldCharType="separate"/>
          </w:r>
          <w:r>
            <w:fldChar w:fldCharType="begin"/>
          </w:r>
          <w:r>
            <w:instrText xml:space="preserve"> HYPERLINK \l _Toc14284 </w:instrText>
          </w:r>
          <w:r>
            <w:fldChar w:fldCharType="separate"/>
          </w:r>
          <w:r>
            <w:rPr>
              <w:rFonts w:hint="eastAsia" w:ascii="Arial" w:hAnsi="Arial" w:eastAsia="宋体" w:cs="Arial"/>
              <w:bCs/>
              <w:i w:val="0"/>
              <w:caps w:val="0"/>
              <w:spacing w:val="0"/>
              <w:kern w:val="2"/>
              <w:szCs w:val="24"/>
              <w:shd w:val="clear" w:fill="FFFFFF"/>
              <w:lang w:val="en-US" w:eastAsia="zh-CN" w:bidi="ar-SA"/>
            </w:rPr>
            <w:t>地下车库一氧化碳的危害</w:t>
          </w:r>
          <w:r>
            <w:tab/>
          </w:r>
          <w:r>
            <w:fldChar w:fldCharType="begin"/>
          </w:r>
          <w:r>
            <w:instrText xml:space="preserve"> PAGEREF _Toc14284 </w:instrText>
          </w:r>
          <w:r>
            <w:fldChar w:fldCharType="separate"/>
          </w:r>
          <w:r>
            <w:t>1</w:t>
          </w:r>
          <w:r>
            <w:fldChar w:fldCharType="end"/>
          </w:r>
          <w:r>
            <w:fldChar w:fldCharType="end"/>
          </w:r>
        </w:p>
        <w:p>
          <w:pPr>
            <w:pStyle w:val="5"/>
            <w:tabs>
              <w:tab w:val="right" w:leader="dot" w:pos="8306"/>
            </w:tabs>
          </w:pPr>
          <w:r>
            <w:fldChar w:fldCharType="begin"/>
          </w:r>
          <w:r>
            <w:instrText xml:space="preserve"> HYPERLINK \l _Toc14428 </w:instrText>
          </w:r>
          <w:r>
            <w:fldChar w:fldCharType="separate"/>
          </w:r>
          <w:r>
            <w:rPr>
              <w:rFonts w:hint="eastAsia" w:ascii="Arial" w:hAnsi="Arial" w:eastAsia="宋体" w:cs="Arial"/>
              <w:bCs/>
              <w:i w:val="0"/>
              <w:caps w:val="0"/>
              <w:spacing w:val="0"/>
              <w:kern w:val="2"/>
              <w:szCs w:val="24"/>
              <w:shd w:val="clear" w:fill="FFFFFF"/>
              <w:lang w:val="en-US" w:eastAsia="zh-CN" w:bidi="ar-SA"/>
            </w:rPr>
            <w:t>相关规范的规定</w:t>
          </w:r>
          <w:r>
            <w:tab/>
          </w:r>
          <w:r>
            <w:fldChar w:fldCharType="begin"/>
          </w:r>
          <w:r>
            <w:instrText xml:space="preserve"> PAGEREF _Toc14428 </w:instrText>
          </w:r>
          <w:r>
            <w:fldChar w:fldCharType="separate"/>
          </w:r>
          <w:r>
            <w:t>2</w:t>
          </w:r>
          <w:r>
            <w:fldChar w:fldCharType="end"/>
          </w:r>
          <w:r>
            <w:fldChar w:fldCharType="end"/>
          </w:r>
        </w:p>
        <w:p>
          <w:pPr>
            <w:pStyle w:val="6"/>
            <w:tabs>
              <w:tab w:val="right" w:leader="dot" w:pos="8306"/>
            </w:tabs>
          </w:pPr>
          <w:r>
            <w:fldChar w:fldCharType="begin"/>
          </w:r>
          <w:r>
            <w:instrText xml:space="preserve"> HYPERLINK \l _Toc12053 </w:instrText>
          </w:r>
          <w:r>
            <w:fldChar w:fldCharType="separate"/>
          </w:r>
          <w:r>
            <w:rPr>
              <w:rFonts w:hint="eastAsia" w:ascii="Arial" w:hAnsi="Arial" w:eastAsia="宋体" w:cs="Arial"/>
              <w:bCs/>
              <w:i w:val="0"/>
              <w:caps w:val="0"/>
              <w:spacing w:val="0"/>
              <w:kern w:val="2"/>
              <w:szCs w:val="21"/>
              <w:shd w:val="clear" w:fill="FFFFFF"/>
              <w:lang w:val="en-US" w:eastAsia="zh-CN" w:bidi="ar-SA"/>
            </w:rPr>
            <w:t>《车库建筑设计规范》JGJ100-2015</w:t>
          </w:r>
          <w:r>
            <w:rPr>
              <w:rFonts w:hint="eastAsia" w:ascii="宋体" w:hAnsi="宋体" w:eastAsia="宋体" w:cs="宋体"/>
              <w:szCs w:val="18"/>
              <w:lang w:val="en-US" w:eastAsia="zh-CN"/>
            </w:rPr>
            <w:t xml:space="preserve"> </w:t>
          </w:r>
          <w:r>
            <w:tab/>
          </w:r>
          <w:r>
            <w:fldChar w:fldCharType="begin"/>
          </w:r>
          <w:r>
            <w:instrText xml:space="preserve"> PAGEREF _Toc12053 </w:instrText>
          </w:r>
          <w:r>
            <w:fldChar w:fldCharType="separate"/>
          </w:r>
          <w:r>
            <w:t>2</w:t>
          </w:r>
          <w:r>
            <w:fldChar w:fldCharType="end"/>
          </w:r>
          <w:r>
            <w:fldChar w:fldCharType="end"/>
          </w:r>
        </w:p>
        <w:p>
          <w:pPr>
            <w:pStyle w:val="6"/>
            <w:tabs>
              <w:tab w:val="right" w:leader="dot" w:pos="8306"/>
            </w:tabs>
          </w:pPr>
          <w:r>
            <w:fldChar w:fldCharType="begin"/>
          </w:r>
          <w:r>
            <w:instrText xml:space="preserve"> HYPERLINK \l _Toc27226 </w:instrText>
          </w:r>
          <w:r>
            <w:fldChar w:fldCharType="separate"/>
          </w:r>
          <w:r>
            <w:rPr>
              <w:rFonts w:hint="eastAsia" w:ascii="Arial" w:hAnsi="Arial" w:eastAsia="宋体" w:cs="Arial"/>
              <w:bCs/>
              <w:i w:val="0"/>
              <w:caps w:val="0"/>
              <w:spacing w:val="0"/>
              <w:kern w:val="2"/>
              <w:szCs w:val="21"/>
              <w:shd w:val="clear" w:fill="FFFFFF"/>
              <w:lang w:val="en-US" w:eastAsia="zh-CN" w:bidi="ar-SA"/>
            </w:rPr>
            <w:t>GB50736-2012《民用建筑供暖通风与空气调节设计规范》</w:t>
          </w:r>
          <w:r>
            <w:rPr>
              <w:rFonts w:hint="eastAsia" w:ascii="宋体" w:hAnsi="宋体" w:eastAsia="宋体" w:cs="宋体"/>
              <w:szCs w:val="18"/>
              <w:lang w:val="en-US" w:eastAsia="zh-CN"/>
            </w:rPr>
            <w:t xml:space="preserve"> </w:t>
          </w:r>
          <w:r>
            <w:tab/>
          </w:r>
          <w:r>
            <w:fldChar w:fldCharType="begin"/>
          </w:r>
          <w:r>
            <w:instrText xml:space="preserve"> PAGEREF _Toc27226 </w:instrText>
          </w:r>
          <w:r>
            <w:fldChar w:fldCharType="separate"/>
          </w:r>
          <w:r>
            <w:t>2</w:t>
          </w:r>
          <w:r>
            <w:fldChar w:fldCharType="end"/>
          </w:r>
          <w:r>
            <w:fldChar w:fldCharType="end"/>
          </w:r>
        </w:p>
        <w:p>
          <w:pPr>
            <w:pStyle w:val="6"/>
            <w:tabs>
              <w:tab w:val="right" w:leader="dot" w:pos="8306"/>
            </w:tabs>
          </w:pPr>
          <w:r>
            <w:fldChar w:fldCharType="begin"/>
          </w:r>
          <w:r>
            <w:instrText xml:space="preserve"> HYPERLINK \l _Toc42 </w:instrText>
          </w:r>
          <w:r>
            <w:fldChar w:fldCharType="separate"/>
          </w:r>
          <w:r>
            <w:rPr>
              <w:rFonts w:hint="eastAsia" w:ascii="Arial" w:hAnsi="Arial" w:eastAsia="宋体" w:cs="Arial"/>
              <w:bCs/>
              <w:i w:val="0"/>
              <w:caps w:val="0"/>
              <w:spacing w:val="0"/>
              <w:kern w:val="2"/>
              <w:szCs w:val="21"/>
              <w:shd w:val="clear" w:fill="FFFFFF"/>
              <w:lang w:val="en-US" w:eastAsia="zh-CN" w:bidi="ar-SA"/>
            </w:rPr>
            <w:t>《公共建筑节能设计标准》GB50189-2005</w:t>
          </w:r>
          <w:r>
            <w:rPr>
              <w:rFonts w:hint="eastAsia" w:ascii="宋体" w:hAnsi="宋体" w:eastAsia="宋体" w:cs="宋体"/>
              <w:szCs w:val="18"/>
              <w:lang w:val="en-US" w:eastAsia="zh-CN"/>
            </w:rPr>
            <w:t xml:space="preserve"> </w:t>
          </w:r>
          <w:r>
            <w:tab/>
          </w:r>
          <w:r>
            <w:fldChar w:fldCharType="begin"/>
          </w:r>
          <w:r>
            <w:instrText xml:space="preserve"> PAGEREF _Toc42 </w:instrText>
          </w:r>
          <w:r>
            <w:fldChar w:fldCharType="separate"/>
          </w:r>
          <w:r>
            <w:t>2</w:t>
          </w:r>
          <w:r>
            <w:fldChar w:fldCharType="end"/>
          </w:r>
          <w:r>
            <w:fldChar w:fldCharType="end"/>
          </w:r>
        </w:p>
        <w:p>
          <w:pPr>
            <w:pStyle w:val="6"/>
            <w:tabs>
              <w:tab w:val="right" w:leader="dot" w:pos="8306"/>
            </w:tabs>
          </w:pPr>
          <w:r>
            <w:fldChar w:fldCharType="begin"/>
          </w:r>
          <w:r>
            <w:instrText xml:space="preserve"> HYPERLINK \l _Toc13842 </w:instrText>
          </w:r>
          <w:r>
            <w:fldChar w:fldCharType="separate"/>
          </w:r>
          <w:r>
            <w:rPr>
              <w:rFonts w:hint="eastAsia" w:ascii="Arial" w:hAnsi="Arial" w:eastAsia="宋体" w:cs="Arial"/>
              <w:bCs/>
              <w:i w:val="0"/>
              <w:caps w:val="0"/>
              <w:spacing w:val="0"/>
              <w:kern w:val="2"/>
              <w:szCs w:val="21"/>
              <w:shd w:val="clear" w:fill="FFFFFF"/>
              <w:lang w:val="en-US" w:eastAsia="zh-CN" w:bidi="ar-SA"/>
            </w:rPr>
            <w:t>《绿色建筑评价标准》GB-T50378-2014</w:t>
          </w:r>
          <w:r>
            <w:tab/>
          </w:r>
          <w:r>
            <w:fldChar w:fldCharType="begin"/>
          </w:r>
          <w:r>
            <w:instrText xml:space="preserve"> PAGEREF _Toc13842 </w:instrText>
          </w:r>
          <w:r>
            <w:fldChar w:fldCharType="separate"/>
          </w:r>
          <w:r>
            <w:t>2</w:t>
          </w:r>
          <w:r>
            <w:fldChar w:fldCharType="end"/>
          </w:r>
          <w:r>
            <w:fldChar w:fldCharType="end"/>
          </w:r>
        </w:p>
        <w:p>
          <w:pPr>
            <w:pStyle w:val="6"/>
            <w:tabs>
              <w:tab w:val="right" w:leader="dot" w:pos="8306"/>
            </w:tabs>
          </w:pPr>
          <w:r>
            <w:fldChar w:fldCharType="begin"/>
          </w:r>
          <w:r>
            <w:instrText xml:space="preserve"> HYPERLINK \l _Toc964 </w:instrText>
          </w:r>
          <w:r>
            <w:fldChar w:fldCharType="separate"/>
          </w:r>
          <w:r>
            <w:rPr>
              <w:rFonts w:hint="eastAsia" w:ascii="宋体" w:hAnsi="宋体" w:eastAsia="宋体" w:cs="宋体"/>
              <w:szCs w:val="18"/>
              <w:lang w:val="en-US" w:eastAsia="zh-CN"/>
            </w:rPr>
            <w:t xml:space="preserve"> </w:t>
          </w:r>
          <w:r>
            <w:rPr>
              <w:rFonts w:hint="eastAsia" w:ascii="Arial" w:hAnsi="Arial" w:eastAsia="宋体" w:cs="Arial"/>
              <w:bCs/>
              <w:i w:val="0"/>
              <w:caps w:val="0"/>
              <w:spacing w:val="0"/>
              <w:kern w:val="2"/>
              <w:szCs w:val="21"/>
              <w:shd w:val="clear" w:fill="FFFFFF"/>
              <w:lang w:val="en-US" w:eastAsia="zh-CN" w:bidi="ar-SA"/>
            </w:rPr>
            <w:t>山东省工程建设《绿色建筑评价标准》DB37 ／ T 5097-2017</w:t>
          </w:r>
          <w:r>
            <w:tab/>
          </w:r>
          <w:r>
            <w:fldChar w:fldCharType="begin"/>
          </w:r>
          <w:r>
            <w:instrText xml:space="preserve"> PAGEREF _Toc964 </w:instrText>
          </w:r>
          <w:r>
            <w:fldChar w:fldCharType="separate"/>
          </w:r>
          <w:r>
            <w:t>2</w:t>
          </w:r>
          <w:r>
            <w:fldChar w:fldCharType="end"/>
          </w:r>
          <w:r>
            <w:fldChar w:fldCharType="end"/>
          </w:r>
        </w:p>
        <w:p>
          <w:pPr>
            <w:pStyle w:val="6"/>
            <w:tabs>
              <w:tab w:val="right" w:leader="dot" w:pos="8306"/>
            </w:tabs>
          </w:pPr>
          <w:r>
            <w:fldChar w:fldCharType="begin"/>
          </w:r>
          <w:r>
            <w:instrText xml:space="preserve"> HYPERLINK \l _Toc3098 </w:instrText>
          </w:r>
          <w:r>
            <w:fldChar w:fldCharType="separate"/>
          </w:r>
          <w:r>
            <w:rPr>
              <w:rFonts w:hint="eastAsia" w:ascii="宋体" w:hAnsi="宋体" w:eastAsia="宋体" w:cs="宋体"/>
              <w:szCs w:val="18"/>
              <w:lang w:val="en-US" w:eastAsia="zh-CN"/>
            </w:rPr>
            <w:t xml:space="preserve"> </w:t>
          </w:r>
          <w:r>
            <w:rPr>
              <w:rFonts w:hint="eastAsia" w:ascii="Arial" w:hAnsi="Arial" w:eastAsia="宋体" w:cs="Arial"/>
              <w:bCs/>
              <w:i w:val="0"/>
              <w:caps w:val="0"/>
              <w:spacing w:val="0"/>
              <w:kern w:val="2"/>
              <w:szCs w:val="21"/>
              <w:shd w:val="clear" w:fill="FFFFFF"/>
              <w:lang w:val="en-US" w:eastAsia="zh-CN" w:bidi="ar-SA"/>
            </w:rPr>
            <w:t>《民用建筑绿色设计规范》JGJ／T 229-2010</w:t>
          </w:r>
          <w:r>
            <w:tab/>
          </w:r>
          <w:r>
            <w:fldChar w:fldCharType="begin"/>
          </w:r>
          <w:r>
            <w:instrText xml:space="preserve"> PAGEREF _Toc3098 </w:instrText>
          </w:r>
          <w:r>
            <w:fldChar w:fldCharType="separate"/>
          </w:r>
          <w:r>
            <w:t>2</w:t>
          </w:r>
          <w:r>
            <w:fldChar w:fldCharType="end"/>
          </w:r>
          <w:r>
            <w:fldChar w:fldCharType="end"/>
          </w:r>
        </w:p>
        <w:p>
          <w:pPr>
            <w:pStyle w:val="5"/>
            <w:tabs>
              <w:tab w:val="right" w:leader="dot" w:pos="8306"/>
            </w:tabs>
          </w:pPr>
          <w:r>
            <w:fldChar w:fldCharType="begin"/>
          </w:r>
          <w:r>
            <w:instrText xml:space="preserve"> HYPERLINK \l _Toc8135 </w:instrText>
          </w:r>
          <w:r>
            <w:fldChar w:fldCharType="separate"/>
          </w:r>
          <w:r>
            <w:rPr>
              <w:rFonts w:hint="eastAsia" w:ascii="Arial" w:hAnsi="Arial" w:eastAsia="宋体" w:cs="Arial"/>
              <w:bCs/>
              <w:i w:val="0"/>
              <w:caps w:val="0"/>
              <w:spacing w:val="0"/>
              <w:kern w:val="2"/>
              <w:szCs w:val="24"/>
              <w:shd w:val="clear" w:fill="FFFFFF"/>
              <w:lang w:val="en-US" w:eastAsia="zh-CN" w:bidi="ar-SA"/>
            </w:rPr>
            <w:t>方案设计</w:t>
          </w:r>
          <w:r>
            <w:tab/>
          </w:r>
          <w:r>
            <w:fldChar w:fldCharType="begin"/>
          </w:r>
          <w:r>
            <w:instrText xml:space="preserve"> PAGEREF _Toc8135 </w:instrText>
          </w:r>
          <w:r>
            <w:fldChar w:fldCharType="separate"/>
          </w:r>
          <w:r>
            <w:t>2</w:t>
          </w:r>
          <w:r>
            <w:fldChar w:fldCharType="end"/>
          </w:r>
          <w:r>
            <w:fldChar w:fldCharType="end"/>
          </w:r>
        </w:p>
        <w:p>
          <w:pPr>
            <w:pStyle w:val="6"/>
            <w:tabs>
              <w:tab w:val="right" w:leader="dot" w:pos="8306"/>
            </w:tabs>
          </w:pPr>
          <w:r>
            <w:fldChar w:fldCharType="begin"/>
          </w:r>
          <w:r>
            <w:instrText xml:space="preserve"> HYPERLINK \l _Toc7142 </w:instrText>
          </w:r>
          <w:r>
            <w:fldChar w:fldCharType="separate"/>
          </w:r>
          <w:r>
            <w:rPr>
              <w:rFonts w:hint="eastAsia" w:ascii="Arial" w:hAnsi="Arial" w:eastAsia="宋体" w:cs="Arial"/>
              <w:bCs/>
              <w:i w:val="0"/>
              <w:caps w:val="0"/>
              <w:spacing w:val="0"/>
              <w:kern w:val="2"/>
              <w:szCs w:val="21"/>
              <w:shd w:val="clear" w:fill="FFFFFF"/>
              <w:lang w:val="en-US" w:eastAsia="zh-CN" w:bidi="ar-SA"/>
            </w:rPr>
            <w:t>CO数据采集子系统</w:t>
          </w:r>
          <w:r>
            <w:tab/>
          </w:r>
          <w:r>
            <w:fldChar w:fldCharType="begin"/>
          </w:r>
          <w:r>
            <w:instrText xml:space="preserve"> PAGEREF _Toc7142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_Toc2692 </w:instrText>
          </w:r>
          <w:r>
            <w:fldChar w:fldCharType="separate"/>
          </w:r>
          <w:r>
            <w:rPr>
              <w:rFonts w:hint="eastAsia" w:ascii="Arial" w:hAnsi="Arial" w:eastAsia="宋体" w:cs="Arial"/>
              <w:bCs/>
              <w:i w:val="0"/>
              <w:caps w:val="0"/>
              <w:spacing w:val="0"/>
              <w:kern w:val="2"/>
              <w:szCs w:val="20"/>
              <w:shd w:val="clear" w:fill="FFFFFF"/>
              <w:lang w:val="en-US" w:eastAsia="zh-CN" w:bidi="ar-SA"/>
            </w:rPr>
            <w:t>CO变送器</w:t>
          </w:r>
          <w:r>
            <w:tab/>
          </w:r>
          <w:r>
            <w:fldChar w:fldCharType="begin"/>
          </w:r>
          <w:r>
            <w:instrText xml:space="preserve"> PAGEREF _Toc2692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_Toc15469 </w:instrText>
          </w:r>
          <w:r>
            <w:fldChar w:fldCharType="separate"/>
          </w:r>
          <w:r>
            <w:rPr>
              <w:rFonts w:hint="eastAsia" w:ascii="Arial" w:hAnsi="Arial" w:eastAsia="宋体" w:cs="Arial"/>
              <w:bCs/>
              <w:i w:val="0"/>
              <w:caps w:val="0"/>
              <w:spacing w:val="0"/>
              <w:kern w:val="2"/>
              <w:szCs w:val="20"/>
              <w:shd w:val="clear" w:fill="FFFFFF"/>
              <w:lang w:val="en-US" w:eastAsia="zh-CN" w:bidi="ar-SA"/>
            </w:rPr>
            <w:t>CO 传感器的布放点位置</w:t>
          </w:r>
          <w:r>
            <w:tab/>
          </w:r>
          <w:r>
            <w:fldChar w:fldCharType="begin"/>
          </w:r>
          <w:r>
            <w:instrText xml:space="preserve"> PAGEREF _Toc15469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_Toc31067 </w:instrText>
          </w:r>
          <w:r>
            <w:fldChar w:fldCharType="separate"/>
          </w:r>
          <w:r>
            <w:rPr>
              <w:rFonts w:hint="eastAsia" w:ascii="Arial" w:hAnsi="Arial" w:eastAsia="宋体" w:cs="Arial"/>
              <w:bCs/>
              <w:i w:val="0"/>
              <w:caps w:val="0"/>
              <w:spacing w:val="0"/>
              <w:kern w:val="2"/>
              <w:szCs w:val="20"/>
              <w:shd w:val="clear" w:fill="FFFFFF"/>
              <w:lang w:val="en-US" w:eastAsia="zh-CN" w:bidi="ar-SA"/>
            </w:rPr>
            <w:t>CO变送器主要技术指标</w:t>
          </w:r>
          <w:r>
            <w:tab/>
          </w:r>
          <w:r>
            <w:fldChar w:fldCharType="begin"/>
          </w:r>
          <w:r>
            <w:instrText xml:space="preserve"> PAGEREF _Toc31067 </w:instrText>
          </w:r>
          <w:r>
            <w:fldChar w:fldCharType="separate"/>
          </w:r>
          <w:r>
            <w:t>4</w:t>
          </w:r>
          <w:r>
            <w:fldChar w:fldCharType="end"/>
          </w:r>
          <w:r>
            <w:fldChar w:fldCharType="end"/>
          </w:r>
        </w:p>
        <w:p>
          <w:pPr>
            <w:pStyle w:val="4"/>
            <w:tabs>
              <w:tab w:val="right" w:leader="dot" w:pos="8306"/>
            </w:tabs>
          </w:pPr>
          <w:r>
            <w:fldChar w:fldCharType="begin"/>
          </w:r>
          <w:r>
            <w:instrText xml:space="preserve"> HYPERLINK \l _Toc9925 </w:instrText>
          </w:r>
          <w:r>
            <w:fldChar w:fldCharType="separate"/>
          </w:r>
          <w:r>
            <w:rPr>
              <w:rFonts w:hint="eastAsia" w:ascii="Arial" w:hAnsi="Arial" w:eastAsia="宋体" w:cs="Arial"/>
              <w:bCs/>
              <w:i w:val="0"/>
              <w:caps w:val="0"/>
              <w:spacing w:val="0"/>
              <w:kern w:val="2"/>
              <w:szCs w:val="20"/>
              <w:shd w:val="clear" w:fill="FFFFFF"/>
              <w:lang w:val="en-US" w:eastAsia="zh-CN" w:bidi="ar-SA"/>
            </w:rPr>
            <w:t>智能监控主机</w:t>
          </w:r>
          <w:r>
            <w:tab/>
          </w:r>
          <w:r>
            <w:fldChar w:fldCharType="begin"/>
          </w:r>
          <w:r>
            <w:instrText xml:space="preserve"> PAGEREF _Toc9925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_Toc7513 </w:instrText>
          </w:r>
          <w:r>
            <w:fldChar w:fldCharType="separate"/>
          </w:r>
          <w:r>
            <w:rPr>
              <w:rFonts w:hint="eastAsia" w:ascii="Arial" w:hAnsi="Arial" w:eastAsia="宋体" w:cs="Arial"/>
              <w:bCs/>
              <w:i w:val="0"/>
              <w:caps w:val="0"/>
              <w:spacing w:val="0"/>
              <w:kern w:val="2"/>
              <w:szCs w:val="21"/>
              <w:shd w:val="clear" w:fill="FFFFFF"/>
              <w:lang w:val="en-US" w:eastAsia="zh-CN" w:bidi="ar-SA"/>
            </w:rPr>
            <w:t>CO浓度报警子系统</w:t>
          </w:r>
          <w:r>
            <w:tab/>
          </w:r>
          <w:r>
            <w:fldChar w:fldCharType="begin"/>
          </w:r>
          <w:r>
            <w:instrText xml:space="preserve"> PAGEREF _Toc7513 </w:instrText>
          </w:r>
          <w:r>
            <w:fldChar w:fldCharType="separate"/>
          </w:r>
          <w:r>
            <w:t>6</w:t>
          </w:r>
          <w:r>
            <w:fldChar w:fldCharType="end"/>
          </w:r>
          <w:r>
            <w:fldChar w:fldCharType="end"/>
          </w:r>
        </w:p>
        <w:p>
          <w:pPr>
            <w:pStyle w:val="4"/>
            <w:tabs>
              <w:tab w:val="right" w:leader="dot" w:pos="8306"/>
            </w:tabs>
          </w:pPr>
          <w:r>
            <w:fldChar w:fldCharType="begin"/>
          </w:r>
          <w:r>
            <w:instrText xml:space="preserve"> HYPERLINK \l _Toc31441 </w:instrText>
          </w:r>
          <w:r>
            <w:fldChar w:fldCharType="separate"/>
          </w:r>
          <w:r>
            <w:rPr>
              <w:rFonts w:hint="eastAsia" w:ascii="Arial" w:hAnsi="Arial" w:eastAsia="宋体" w:cs="Arial"/>
              <w:bCs/>
              <w:i w:val="0"/>
              <w:caps w:val="0"/>
              <w:spacing w:val="0"/>
              <w:kern w:val="2"/>
              <w:szCs w:val="20"/>
              <w:shd w:val="clear" w:fill="FFFFFF"/>
              <w:lang w:val="en-US" w:eastAsia="zh-CN" w:bidi="ar-SA"/>
            </w:rPr>
            <w:t>CO 浓度报警上限值的确定：</w:t>
          </w:r>
          <w:r>
            <w:tab/>
          </w:r>
          <w:r>
            <w:fldChar w:fldCharType="begin"/>
          </w:r>
          <w:r>
            <w:instrText xml:space="preserve"> PAGEREF _Toc31441 </w:instrText>
          </w:r>
          <w:r>
            <w:fldChar w:fldCharType="separate"/>
          </w:r>
          <w:r>
            <w:t>6</w:t>
          </w:r>
          <w:r>
            <w:fldChar w:fldCharType="end"/>
          </w:r>
          <w:r>
            <w:fldChar w:fldCharType="end"/>
          </w:r>
        </w:p>
        <w:p>
          <w:pPr>
            <w:pStyle w:val="4"/>
            <w:tabs>
              <w:tab w:val="right" w:leader="dot" w:pos="8306"/>
            </w:tabs>
          </w:pPr>
          <w:r>
            <w:fldChar w:fldCharType="begin"/>
          </w:r>
          <w:r>
            <w:instrText xml:space="preserve"> HYPERLINK \l _Toc9659 </w:instrText>
          </w:r>
          <w:r>
            <w:fldChar w:fldCharType="separate"/>
          </w:r>
          <w:r>
            <w:rPr>
              <w:rFonts w:hint="eastAsia" w:ascii="Arial" w:hAnsi="Arial" w:eastAsia="宋体" w:cs="Arial"/>
              <w:bCs/>
              <w:i w:val="0"/>
              <w:caps w:val="0"/>
              <w:spacing w:val="0"/>
              <w:kern w:val="2"/>
              <w:szCs w:val="20"/>
              <w:shd w:val="clear" w:fill="FFFFFF"/>
              <w:lang w:val="en-US" w:eastAsia="zh-CN" w:bidi="ar-SA"/>
            </w:rPr>
            <w:t>CO报警输出方式</w:t>
          </w:r>
          <w:r>
            <w:tab/>
          </w:r>
          <w:r>
            <w:fldChar w:fldCharType="begin"/>
          </w:r>
          <w:r>
            <w:instrText xml:space="preserve"> PAGEREF _Toc9659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_Toc1594 </w:instrText>
          </w:r>
          <w:r>
            <w:fldChar w:fldCharType="separate"/>
          </w:r>
          <w:r>
            <w:rPr>
              <w:rFonts w:hint="eastAsia" w:ascii="Arial" w:hAnsi="Arial" w:eastAsia="宋体" w:cs="Arial"/>
              <w:bCs/>
              <w:i w:val="0"/>
              <w:caps w:val="0"/>
              <w:spacing w:val="0"/>
              <w:kern w:val="2"/>
              <w:szCs w:val="21"/>
              <w:shd w:val="clear" w:fill="FFFFFF"/>
              <w:lang w:val="en-US" w:eastAsia="zh-CN" w:bidi="ar-SA"/>
            </w:rPr>
            <w:t>CO浓度自动控制子系统</w:t>
          </w:r>
          <w:r>
            <w:tab/>
          </w:r>
          <w:r>
            <w:fldChar w:fldCharType="begin"/>
          </w:r>
          <w:r>
            <w:instrText xml:space="preserve"> PAGEREF _Toc1594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_Toc32631 </w:instrText>
          </w:r>
          <w:r>
            <w:fldChar w:fldCharType="separate"/>
          </w:r>
          <w:r>
            <w:rPr>
              <w:rFonts w:hint="eastAsia" w:ascii="Arial" w:hAnsi="Arial" w:eastAsia="宋体" w:cs="Arial"/>
              <w:bCs/>
              <w:i w:val="0"/>
              <w:caps w:val="0"/>
              <w:spacing w:val="0"/>
              <w:kern w:val="2"/>
              <w:szCs w:val="21"/>
              <w:shd w:val="clear" w:fill="FFFFFF"/>
              <w:lang w:val="en-US" w:eastAsia="zh-CN" w:bidi="ar-SA"/>
            </w:rPr>
            <w:t>视频监控系统</w:t>
          </w:r>
          <w:r>
            <w:tab/>
          </w:r>
          <w:r>
            <w:fldChar w:fldCharType="begin"/>
          </w:r>
          <w:r>
            <w:instrText xml:space="preserve"> PAGEREF _Toc32631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_Toc18499 </w:instrText>
          </w:r>
          <w:r>
            <w:fldChar w:fldCharType="separate"/>
          </w:r>
          <w:r>
            <w:rPr>
              <w:rFonts w:hint="eastAsia" w:ascii="Arial" w:hAnsi="Arial" w:eastAsia="宋体" w:cs="Arial"/>
              <w:bCs/>
              <w:i w:val="0"/>
              <w:caps w:val="0"/>
              <w:spacing w:val="0"/>
              <w:kern w:val="2"/>
              <w:szCs w:val="21"/>
              <w:shd w:val="clear" w:fill="FFFFFF"/>
              <w:lang w:val="en-US" w:eastAsia="zh-CN" w:bidi="ar-SA"/>
            </w:rPr>
            <w:t>中心主控系统（服务器、管理平台）</w:t>
          </w:r>
          <w:r>
            <w:tab/>
          </w:r>
          <w:r>
            <w:fldChar w:fldCharType="begin"/>
          </w:r>
          <w:r>
            <w:instrText xml:space="preserve"> PAGEREF _Toc18499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_Toc581 </w:instrText>
          </w:r>
          <w:r>
            <w:fldChar w:fldCharType="separate"/>
          </w:r>
          <w:r>
            <w:rPr>
              <w:rFonts w:hint="default" w:ascii="Arial" w:hAnsi="Arial" w:eastAsia="宋体" w:cs="Arial"/>
              <w:bCs/>
              <w:i w:val="0"/>
              <w:caps w:val="0"/>
              <w:spacing w:val="0"/>
              <w:kern w:val="2"/>
              <w:szCs w:val="21"/>
              <w:shd w:val="clear" w:fill="FFFFFF"/>
              <w:lang w:val="en-US" w:eastAsia="zh-CN" w:bidi="ar-SA"/>
            </w:rPr>
            <w:t>结语</w:t>
          </w:r>
          <w:r>
            <w:tab/>
          </w:r>
          <w:r>
            <w:fldChar w:fldCharType="begin"/>
          </w:r>
          <w:r>
            <w:instrText xml:space="preserve"> PAGEREF _Toc581 </w:instrText>
          </w:r>
          <w:r>
            <w:fldChar w:fldCharType="separate"/>
          </w:r>
          <w:r>
            <w:t>10</w:t>
          </w:r>
          <w:r>
            <w:fldChar w:fldCharType="end"/>
          </w:r>
          <w:r>
            <w:fldChar w:fldCharType="end"/>
          </w:r>
        </w:p>
        <w:p>
          <w:r>
            <w:fldChar w:fldCharType="end"/>
          </w:r>
        </w:p>
      </w:sdtContent>
    </w:sdt>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0"/>
        <w:rPr>
          <w:rFonts w:hint="eastAsia" w:ascii="Arial" w:hAnsi="Arial" w:eastAsia="宋体" w:cs="Arial"/>
          <w:b/>
          <w:bCs/>
          <w:i w:val="0"/>
          <w:caps w:val="0"/>
          <w:color w:val="333333"/>
          <w:spacing w:val="0"/>
          <w:kern w:val="2"/>
          <w:sz w:val="24"/>
          <w:szCs w:val="24"/>
          <w:shd w:val="clear" w:fill="FFFFFF"/>
          <w:lang w:val="en-US" w:eastAsia="zh-CN" w:bidi="ar-SA"/>
        </w:rPr>
      </w:pPr>
      <w:bookmarkStart w:id="0" w:name="_Toc14284"/>
      <w:r>
        <w:rPr>
          <w:rFonts w:hint="eastAsia" w:ascii="Arial" w:hAnsi="Arial" w:eastAsia="宋体" w:cs="Arial"/>
          <w:b/>
          <w:bCs/>
          <w:i w:val="0"/>
          <w:caps w:val="0"/>
          <w:color w:val="333333"/>
          <w:spacing w:val="0"/>
          <w:kern w:val="2"/>
          <w:sz w:val="24"/>
          <w:szCs w:val="24"/>
          <w:shd w:val="clear" w:fill="FFFFFF"/>
          <w:lang w:val="en-US" w:eastAsia="zh-CN" w:bidi="ar-SA"/>
        </w:rPr>
        <w:t>地下车库一氧化碳的危害</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随着我国经济社会的发展，汽车已进入寻常百姓家庭，许多新建公共建筑和住宅小区地下车库已经成为房地产建设项目的必需配套设施。按相关规定地下车库都应设置送、排风系统，以送入新鲜空气排出地下车库污染的空气，但在一些建设时间较早的小区，地下停车库根本没有排风设备，而在一些新建小区地下停车库虽然有排风系统，一般也存在开启排风系统通风量不足或根本就不排风的问题。它导致的直接后果是，汽车进出车库排放的尾气不易排出，在地下停车库内大量聚集有毒有害气体，车库内弥漫着呛鼻的气味，令人无法忍受。这一现象严重恶化了车库内的空气质量，小车司机及随行人员成为直接的受害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一氧化碳是汽车尾气的主要成分，一氧化碳在大气中的存留时间很长，一般可存留 2～3 年。因此，这是一种数量大、积累性强的大气污染物。一氧化碳随空气进入人体后，经肺泡进入血液循环，能与血液中红细胞里的血红蛋白、血液外的肌红蛋白和含二价铁的细胞呼吸酶等形成可逆性结合。高浓度一氧化碳可引起急性中毒，中毒者常出现脉弱，呼吸变慢等反应，最后衰竭致死。慢性一氧化碳中毒会出现头痛、头晕、记忆力降低等神经衰弱症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而经过调查及研究，关于一氧化碳的释放量计算，由于地下车库的汽车类型和各种类型汽车的数量较难准确确定，需要投入大量的人力资源来测量和处理地下车库的一氧化碳浓度超</w:t>
      </w:r>
      <w:bookmarkStart w:id="22" w:name="_GoBack"/>
      <w:bookmarkEnd w:id="22"/>
      <w:r>
        <w:rPr>
          <w:rFonts w:hint="eastAsia" w:ascii="宋体" w:hAnsi="宋体" w:eastAsia="宋体" w:cs="宋体"/>
          <w:sz w:val="18"/>
          <w:szCs w:val="18"/>
          <w:lang w:val="en-US" w:eastAsia="zh-CN"/>
        </w:rPr>
        <w:t>标问题，对于小区的物业管理以及大型停车场的车库管理来说，显然是不现实的。在这种情况下，如果能安装一种智能控制系统，将其安装在地下车库，自动监测一氧化碳含量，并在含量超标时自动启动排风功能，是一种较为合理的选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textAlignment w:val="auto"/>
        <w:outlineLvl w:val="9"/>
        <w:rPr>
          <w:rFonts w:hint="eastAsia" w:ascii="宋体" w:hAnsi="宋体" w:eastAsia="宋体" w:cs="宋体"/>
          <w:sz w:val="18"/>
          <w:szCs w:val="18"/>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0"/>
        <w:rPr>
          <w:rFonts w:hint="eastAsia" w:ascii="Arial" w:hAnsi="Arial" w:eastAsia="宋体" w:cs="Arial"/>
          <w:b/>
          <w:bCs/>
          <w:i w:val="0"/>
          <w:caps w:val="0"/>
          <w:color w:val="333333"/>
          <w:spacing w:val="0"/>
          <w:kern w:val="2"/>
          <w:sz w:val="24"/>
          <w:szCs w:val="24"/>
          <w:shd w:val="clear" w:fill="FFFFFF"/>
          <w:lang w:val="en-US" w:eastAsia="zh-CN" w:bidi="ar-SA"/>
        </w:rPr>
      </w:pPr>
      <w:bookmarkStart w:id="1" w:name="_Toc14428"/>
      <w:r>
        <w:rPr>
          <w:rFonts w:hint="eastAsia" w:ascii="Arial" w:hAnsi="Arial" w:eastAsia="宋体" w:cs="Arial"/>
          <w:b/>
          <w:bCs/>
          <w:i w:val="0"/>
          <w:caps w:val="0"/>
          <w:color w:val="333333"/>
          <w:spacing w:val="0"/>
          <w:kern w:val="2"/>
          <w:sz w:val="24"/>
          <w:szCs w:val="24"/>
          <w:shd w:val="clear" w:fill="FFFFFF"/>
          <w:lang w:val="en-US" w:eastAsia="zh-CN" w:bidi="ar-SA"/>
        </w:rPr>
        <w:t>相关规范的规定</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有关车库一氧化碳有关规范的内容整理如下：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eastAsia" w:ascii="宋体" w:hAnsi="宋体" w:eastAsia="宋体" w:cs="宋体"/>
          <w:sz w:val="18"/>
          <w:szCs w:val="18"/>
          <w:lang w:val="en-US" w:eastAsia="zh-CN"/>
        </w:rPr>
      </w:pPr>
      <w:bookmarkStart w:id="2" w:name="_Toc12053"/>
      <w:r>
        <w:rPr>
          <w:rFonts w:hint="eastAsia" w:ascii="Arial" w:hAnsi="Arial" w:eastAsia="宋体" w:cs="Arial"/>
          <w:b/>
          <w:bCs/>
          <w:i w:val="0"/>
          <w:caps w:val="0"/>
          <w:color w:val="333333"/>
          <w:spacing w:val="0"/>
          <w:kern w:val="2"/>
          <w:sz w:val="21"/>
          <w:szCs w:val="21"/>
          <w:shd w:val="clear" w:fill="FFFFFF"/>
          <w:lang w:val="en-US" w:eastAsia="zh-CN" w:bidi="ar-SA"/>
        </w:rPr>
        <w:t>《车库建筑设计规范》JGJ100-2015</w:t>
      </w:r>
      <w:r>
        <w:rPr>
          <w:rFonts w:hint="eastAsia" w:ascii="宋体" w:hAnsi="宋体" w:eastAsia="宋体" w:cs="宋体"/>
          <w:sz w:val="18"/>
          <w:szCs w:val="18"/>
          <w:lang w:val="en-US" w:eastAsia="zh-CN"/>
        </w:rPr>
        <w:br w:type="textWrapping"/>
      </w:r>
      <w:bookmarkEnd w:id="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7.3.3 当车库停车区域自然通风达不到稀释废气标准时，应设置机械排风系统，并应符合国家现行标准《工业企业设计卫生标准》GBZ 1的规定。</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条文说明：机动车库及非机动车库摩托车停车区域稀释废气的标准是一氧化碳、甲醛和铅等的浓度，但以一氧化碳为主，如其稀释到了安全浓度，其他有害成分亦到了安全浓度。美国工业卫生局许可一氧化碳浓度平均等于小于50ppm，最大等于小于100ppm（不超过1h）即125mg/m3。我国《工业企业设计卫生标准》GBZ 1中一氧化碳短时间接触容许浓度为30mg/m3（24ppm）。机械式机动车库内，有时有积留废气和汽油蒸汽，该处应设局部排风予以排除。</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7.3.8 中型及以上机动车库送风、排风机宜选用多台并联或变频调速，运行方式宜采用定时启、停风机或根据室内CO气体浓度自动控制风机运行。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eastAsia" w:ascii="宋体" w:hAnsi="宋体" w:eastAsia="宋体" w:cs="宋体"/>
          <w:sz w:val="18"/>
          <w:szCs w:val="18"/>
          <w:lang w:val="en-US" w:eastAsia="zh-CN"/>
        </w:rPr>
      </w:pPr>
      <w:bookmarkStart w:id="3" w:name="_Toc27226"/>
      <w:r>
        <w:rPr>
          <w:rFonts w:hint="eastAsia" w:ascii="Arial" w:hAnsi="Arial" w:eastAsia="宋体" w:cs="Arial"/>
          <w:b/>
          <w:bCs/>
          <w:i w:val="0"/>
          <w:caps w:val="0"/>
          <w:color w:val="333333"/>
          <w:spacing w:val="0"/>
          <w:kern w:val="2"/>
          <w:sz w:val="21"/>
          <w:szCs w:val="21"/>
          <w:shd w:val="clear" w:fill="FFFFFF"/>
          <w:lang w:val="en-US" w:eastAsia="zh-CN" w:bidi="ar-SA"/>
        </w:rPr>
        <w:t>GB50736-2012《民用建筑供暖通风与空气调节设计规范》</w:t>
      </w:r>
      <w:r>
        <w:rPr>
          <w:rFonts w:hint="eastAsia" w:ascii="宋体" w:hAnsi="宋体" w:eastAsia="宋体" w:cs="宋体"/>
          <w:sz w:val="18"/>
          <w:szCs w:val="18"/>
          <w:lang w:val="en-US" w:eastAsia="zh-CN"/>
        </w:rPr>
        <w:br w:type="textWrapping"/>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6.3.8 汽车库通风应满足以下规定：</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1 车库内自然通风不能满足CO最高允许浓度应不大于30mg/m3的标准时应设机械通风系统。 </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2 地下汽车库宜设置独立的送风、排风系统。具备自然进风条件的地下汽车库，可采用自然进风、机械排风的方式。</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3 车流量随时间变化较大的车库，宜设置CO浓度传感器，风机宜采用多台并联方式或设置风机调速装置。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eastAsia" w:ascii="宋体" w:hAnsi="宋体" w:eastAsia="宋体" w:cs="宋体"/>
          <w:sz w:val="18"/>
          <w:szCs w:val="18"/>
          <w:lang w:val="en-US" w:eastAsia="zh-CN"/>
        </w:rPr>
      </w:pPr>
      <w:bookmarkStart w:id="4" w:name="_Toc42"/>
      <w:r>
        <w:rPr>
          <w:rFonts w:hint="eastAsia" w:ascii="Arial" w:hAnsi="Arial" w:eastAsia="宋体" w:cs="Arial"/>
          <w:b/>
          <w:bCs/>
          <w:i w:val="0"/>
          <w:caps w:val="0"/>
          <w:color w:val="333333"/>
          <w:spacing w:val="0"/>
          <w:kern w:val="2"/>
          <w:sz w:val="21"/>
          <w:szCs w:val="21"/>
          <w:shd w:val="clear" w:fill="FFFFFF"/>
          <w:lang w:val="en-US" w:eastAsia="zh-CN" w:bidi="ar-SA"/>
        </w:rPr>
        <w:t>《公共建筑节能设计标准》GB50189-2005</w:t>
      </w:r>
      <w:r>
        <w:rPr>
          <w:rFonts w:hint="eastAsia" w:ascii="宋体" w:hAnsi="宋体" w:eastAsia="宋体" w:cs="宋体"/>
          <w:sz w:val="18"/>
          <w:szCs w:val="18"/>
          <w:lang w:val="en-US" w:eastAsia="zh-CN"/>
        </w:rPr>
        <w:br w:type="textWrapping"/>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5.5.11 采用CO浓度自动控制风机的启停（或运行台数），有利于在保持车库内空气质量的前提下节约能源，但由于CO浓度探测设备比较贵，因此适用于高峰时段不确定的地下车库在汽车开、停过程中，通过对其主要排放污染物CO浓度的监测来控制通风设备的运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5" w:name="_Toc13842"/>
      <w:r>
        <w:rPr>
          <w:rFonts w:hint="eastAsia" w:ascii="Arial" w:hAnsi="Arial" w:eastAsia="宋体" w:cs="Arial"/>
          <w:b/>
          <w:bCs/>
          <w:i w:val="0"/>
          <w:caps w:val="0"/>
          <w:color w:val="333333"/>
          <w:spacing w:val="0"/>
          <w:kern w:val="2"/>
          <w:sz w:val="21"/>
          <w:szCs w:val="21"/>
          <w:shd w:val="clear" w:fill="FFFFFF"/>
          <w:lang w:val="en-US" w:eastAsia="zh-CN" w:bidi="ar-SA"/>
        </w:rPr>
        <w:t>《绿色建筑评价标准》GB-T50378-2014</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8.2.13 地下车库设置与排风联动的一氧化碳浓度监测装置，评价分值为5分。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6" w:name="_Toc964"/>
      <w:r>
        <w:rPr>
          <w:rFonts w:hint="eastAsia" w:ascii="宋体" w:hAnsi="宋体" w:eastAsia="宋体" w:cs="宋体"/>
          <w:sz w:val="18"/>
          <w:szCs w:val="18"/>
          <w:lang w:val="en-US" w:eastAsia="zh-CN"/>
        </w:rPr>
        <w:br w:type="textWrapping"/>
      </w:r>
      <w:r>
        <w:rPr>
          <w:rFonts w:hint="eastAsia" w:ascii="Arial" w:hAnsi="Arial" w:eastAsia="宋体" w:cs="Arial"/>
          <w:b/>
          <w:bCs/>
          <w:i w:val="0"/>
          <w:caps w:val="0"/>
          <w:color w:val="333333"/>
          <w:spacing w:val="0"/>
          <w:kern w:val="2"/>
          <w:sz w:val="21"/>
          <w:szCs w:val="21"/>
          <w:shd w:val="clear" w:fill="FFFFFF"/>
          <w:lang w:val="en-US" w:eastAsia="zh-CN" w:bidi="ar-SA"/>
        </w:rPr>
        <w:t>山东省工程建设《绿色建筑评价标准》DB37 ／ T 5097-2017</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8.2.11 地下车库设置与排风设备联动的一氧化碳监测装置，评价分值为7分。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7" w:name="_Toc3098"/>
      <w:r>
        <w:rPr>
          <w:rFonts w:hint="eastAsia" w:ascii="宋体" w:hAnsi="宋体" w:eastAsia="宋体" w:cs="宋体"/>
          <w:sz w:val="18"/>
          <w:szCs w:val="18"/>
          <w:lang w:val="en-US" w:eastAsia="zh-CN"/>
        </w:rPr>
        <w:br w:type="textWrapping"/>
      </w:r>
      <w:r>
        <w:rPr>
          <w:rFonts w:hint="eastAsia" w:ascii="Arial" w:hAnsi="Arial" w:eastAsia="宋体" w:cs="Arial"/>
          <w:b/>
          <w:bCs/>
          <w:i w:val="0"/>
          <w:caps w:val="0"/>
          <w:color w:val="333333"/>
          <w:spacing w:val="0"/>
          <w:kern w:val="2"/>
          <w:sz w:val="21"/>
          <w:szCs w:val="21"/>
          <w:shd w:val="clear" w:fill="FFFFFF"/>
          <w:lang w:val="en-US" w:eastAsia="zh-CN" w:bidi="ar-SA"/>
        </w:rPr>
        <w:t>《民用建筑绿色设计规范》JGJ／T 229-2010</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9.5.5设置机械通风的汽车库，宜设一氧化碳检测和控制装置控制通风系统运行。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通过学习相关规范，我们可以了解到，对地下车库一氧化碳CO探测器的安装要求并没有强制规定，考虑到人身安全，规范中强调的是对车库一定空间内一氧化碳浓度的限制。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Arial" w:hAnsi="Arial" w:eastAsia="宋体" w:cs="Arial"/>
          <w:b/>
          <w:bCs/>
          <w:i w:val="0"/>
          <w:caps w:val="0"/>
          <w:color w:val="333333"/>
          <w:spacing w:val="0"/>
          <w:kern w:val="2"/>
          <w:sz w:val="24"/>
          <w:szCs w:val="24"/>
          <w:shd w:val="clear"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0"/>
        <w:rPr>
          <w:rFonts w:hint="eastAsia" w:ascii="Arial" w:hAnsi="Arial" w:eastAsia="宋体" w:cs="Arial"/>
          <w:b/>
          <w:bCs/>
          <w:i w:val="0"/>
          <w:caps w:val="0"/>
          <w:color w:val="333333"/>
          <w:spacing w:val="0"/>
          <w:kern w:val="2"/>
          <w:sz w:val="24"/>
          <w:szCs w:val="24"/>
          <w:shd w:val="clear" w:fill="FFFFFF"/>
          <w:lang w:val="en-US" w:eastAsia="zh-CN" w:bidi="ar-SA"/>
        </w:rPr>
      </w:pPr>
      <w:bookmarkStart w:id="8" w:name="_Toc8135"/>
      <w:r>
        <w:rPr>
          <w:rFonts w:hint="eastAsia" w:ascii="Arial" w:hAnsi="Arial" w:eastAsia="宋体" w:cs="Arial"/>
          <w:b/>
          <w:bCs/>
          <w:i w:val="0"/>
          <w:caps w:val="0"/>
          <w:color w:val="333333"/>
          <w:spacing w:val="0"/>
          <w:kern w:val="2"/>
          <w:sz w:val="24"/>
          <w:szCs w:val="24"/>
          <w:shd w:val="clear" w:fill="FFFFFF"/>
          <w:lang w:val="en-US" w:eastAsia="zh-CN" w:bidi="ar-SA"/>
        </w:rPr>
        <w:t>方案设计</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地下车库CO浓度监测系统应配合地下停车场应配有送、排风系统，用新鲜空气进行置换。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目前，加装地下停车场一氧化碳检测系统的目的主要有两个：</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一氧化碳农夫超标情况下保证地下停车场内一氧化碳浓度低于危害水平，属于安全考虑。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根据地下停车场内一氧化碳浓度进行排风，避免排风频率过高导致的能源浪费，属于节能考虑。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山东仁科测控技术有限公司在综合满足上述规范要求以及实现功能目的的前提下，考虑实际经济原则，针对地下车库场合特制定以下方案，地下车库一氧化碳浓度监测及与排风设备联动系统包含CO数据采集子系统，CO浓度报警子系统，</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CO浓度自动控制子系统，视频监控系统，中心主控系统（服务器、管理平台）等子系统组成。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drawing>
          <wp:inline distT="0" distB="0" distL="114300" distR="114300">
            <wp:extent cx="5258435" cy="3771900"/>
            <wp:effectExtent l="0" t="0" r="18415" b="0"/>
            <wp:docPr id="9" name="图片 9" descr="地下车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地下车库"/>
                    <pic:cNvPicPr>
                      <a:picLocks noChangeAspect="1"/>
                    </pic:cNvPicPr>
                  </pic:nvPicPr>
                  <pic:blipFill>
                    <a:blip r:embed="rId4"/>
                    <a:stretch>
                      <a:fillRect/>
                    </a:stretch>
                  </pic:blipFill>
                  <pic:spPr>
                    <a:xfrm>
                      <a:off x="0" y="0"/>
                      <a:ext cx="5258435" cy="377190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9" w:name="_Toc7142"/>
      <w:r>
        <w:rPr>
          <w:rFonts w:hint="eastAsia" w:ascii="Arial" w:hAnsi="Arial" w:eastAsia="宋体" w:cs="Arial"/>
          <w:b/>
          <w:bCs/>
          <w:i w:val="0"/>
          <w:caps w:val="0"/>
          <w:color w:val="333333"/>
          <w:spacing w:val="0"/>
          <w:kern w:val="2"/>
          <w:sz w:val="21"/>
          <w:szCs w:val="21"/>
          <w:shd w:val="clear" w:fill="FFFFFF"/>
          <w:lang w:val="en-US" w:eastAsia="zh-CN" w:bidi="ar-SA"/>
        </w:rPr>
        <w:t>CO数据采集子系统</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本系统包过一氧化碳变送器</w:t>
      </w:r>
      <w:r>
        <w:rPr>
          <w:rFonts w:hint="default" w:ascii="宋体" w:hAnsi="宋体" w:eastAsia="宋体" w:cs="宋体"/>
          <w:sz w:val="18"/>
          <w:szCs w:val="18"/>
          <w:lang w:val="en-US" w:eastAsia="zh-CN"/>
        </w:rPr>
        <w:t>、</w:t>
      </w:r>
      <w:r>
        <w:rPr>
          <w:rFonts w:hint="eastAsia" w:ascii="宋体" w:hAnsi="宋体" w:eastAsia="宋体" w:cs="宋体"/>
          <w:sz w:val="18"/>
          <w:szCs w:val="18"/>
          <w:lang w:val="en-US" w:eastAsia="zh-CN"/>
        </w:rPr>
        <w:t>智能监控主机</w:t>
      </w:r>
      <w:r>
        <w:rPr>
          <w:rFonts w:hint="default" w:ascii="宋体" w:hAnsi="宋体" w:eastAsia="宋体" w:cs="宋体"/>
          <w:sz w:val="18"/>
          <w:szCs w:val="18"/>
          <w:lang w:val="en-US" w:eastAsia="zh-CN"/>
        </w:rPr>
        <w:t>等</w:t>
      </w:r>
      <w:r>
        <w:rPr>
          <w:rFonts w:hint="eastAsia" w:ascii="宋体" w:hAnsi="宋体" w:eastAsia="宋体" w:cs="宋体"/>
          <w:sz w:val="18"/>
          <w:szCs w:val="18"/>
          <w:lang w:val="en-US" w:eastAsia="zh-CN"/>
        </w:rPr>
        <w:t>硬件组成部分</w:t>
      </w:r>
      <w:r>
        <w:rPr>
          <w:rFonts w:hint="default" w:ascii="宋体" w:hAnsi="宋体" w:eastAsia="宋体" w:cs="宋体"/>
          <w:sz w:val="18"/>
          <w:szCs w:val="18"/>
          <w:lang w:val="en-US" w:eastAsia="zh-CN"/>
        </w:rPr>
        <w:t>构成。</w:t>
      </w:r>
      <w:r>
        <w:rPr>
          <w:rFonts w:hint="eastAsia" w:ascii="宋体" w:hAnsi="宋体" w:eastAsia="宋体" w:cs="宋体"/>
          <w:sz w:val="18"/>
          <w:szCs w:val="18"/>
          <w:lang w:val="en-US" w:eastAsia="zh-CN"/>
        </w:rPr>
        <w:t>一氧化碳</w:t>
      </w:r>
      <w:r>
        <w:rPr>
          <w:rFonts w:hint="default" w:ascii="宋体" w:hAnsi="宋体" w:eastAsia="宋体" w:cs="宋体"/>
          <w:sz w:val="18"/>
          <w:szCs w:val="18"/>
          <w:lang w:val="en-US" w:eastAsia="zh-CN"/>
        </w:rPr>
        <w:t>传感器为</w:t>
      </w:r>
      <w:r>
        <w:rPr>
          <w:rFonts w:hint="eastAsia" w:ascii="宋体" w:hAnsi="宋体" w:eastAsia="宋体" w:cs="宋体"/>
          <w:sz w:val="18"/>
          <w:szCs w:val="18"/>
          <w:lang w:val="en-US" w:eastAsia="zh-CN"/>
        </w:rPr>
        <w:t>地下车库</w:t>
      </w:r>
      <w:r>
        <w:rPr>
          <w:rFonts w:hint="default" w:ascii="宋体" w:hAnsi="宋体" w:eastAsia="宋体" w:cs="宋体"/>
          <w:sz w:val="18"/>
          <w:szCs w:val="18"/>
          <w:lang w:val="en-US" w:eastAsia="zh-CN"/>
        </w:rPr>
        <w:t>专用传感器，具有高精度高可靠性的特点。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2"/>
        <w:rPr>
          <w:rFonts w:hint="default" w:ascii="Arial" w:hAnsi="Arial" w:eastAsia="宋体" w:cs="Arial"/>
          <w:b/>
          <w:bCs/>
          <w:i w:val="0"/>
          <w:caps w:val="0"/>
          <w:color w:val="333333"/>
          <w:spacing w:val="0"/>
          <w:kern w:val="2"/>
          <w:sz w:val="20"/>
          <w:szCs w:val="20"/>
          <w:shd w:val="clear" w:fill="FFFFFF"/>
          <w:lang w:val="en-US" w:eastAsia="zh-CN" w:bidi="ar-SA"/>
        </w:rPr>
      </w:pPr>
      <w:bookmarkStart w:id="10" w:name="_Toc2692"/>
      <w:r>
        <w:rPr>
          <w:rFonts w:hint="eastAsia" w:ascii="Arial" w:hAnsi="Arial" w:eastAsia="宋体" w:cs="Arial"/>
          <w:b/>
          <w:bCs/>
          <w:i w:val="0"/>
          <w:caps w:val="0"/>
          <w:color w:val="333333"/>
          <w:spacing w:val="0"/>
          <w:kern w:val="2"/>
          <w:sz w:val="20"/>
          <w:szCs w:val="20"/>
          <w:shd w:val="clear" w:fill="FFFFFF"/>
          <w:lang w:val="en-US" w:eastAsia="zh-CN" w:bidi="ar-SA"/>
        </w:rPr>
        <w:t>CO变送器</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我司设计的一氧化碳变送器，采用进口一线大品牌电化学一氧化碳传感器，具有反应迅速灵敏、抗干扰能力强的特点，经过我司独有的补偿算法、多段标准气体标定，亦具有长寿命、高精度、高重复性和高稳定性的特点。适用于地下停车场、车库、车间、密闭生活场所等需要检测一氧化碳浓度的场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■可选配高品质OLED显示屏，现场可直接查看数值，夜晚亦可清晰显示。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■产品采用壁挂式防水壳，安装方便，防护等级高可应用于恶劣的现场环境。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2"/>
        <w:rPr>
          <w:rFonts w:hint="eastAsia" w:ascii="Arial" w:hAnsi="Arial" w:eastAsia="宋体" w:cs="Arial"/>
          <w:b/>
          <w:bCs/>
          <w:i w:val="0"/>
          <w:caps w:val="0"/>
          <w:color w:val="333333"/>
          <w:spacing w:val="0"/>
          <w:kern w:val="2"/>
          <w:sz w:val="20"/>
          <w:szCs w:val="20"/>
          <w:shd w:val="clear" w:fill="FFFFFF"/>
          <w:lang w:val="en-US" w:eastAsia="zh-CN" w:bidi="ar-SA"/>
        </w:rPr>
      </w:pPr>
      <w:r>
        <w:rPr>
          <w:rFonts w:hint="eastAsia" w:ascii="Arial" w:hAnsi="Arial" w:eastAsia="宋体" w:cs="Arial"/>
          <w:b/>
          <w:bCs/>
          <w:i w:val="0"/>
          <w:caps w:val="0"/>
          <w:color w:val="333333"/>
          <w:spacing w:val="0"/>
          <w:kern w:val="2"/>
          <w:sz w:val="20"/>
          <w:szCs w:val="20"/>
          <w:shd w:val="clear" w:fill="FFFFFF"/>
          <w:lang w:val="en-US" w:eastAsia="zh-CN" w:bidi="ar-SA"/>
        </w:rPr>
        <w:t xml:space="preserve"> </w:t>
      </w:r>
      <w:bookmarkStart w:id="11" w:name="_Toc15469"/>
      <w:r>
        <w:rPr>
          <w:rFonts w:hint="eastAsia" w:ascii="Arial" w:hAnsi="Arial" w:eastAsia="宋体" w:cs="Arial"/>
          <w:b/>
          <w:bCs/>
          <w:i w:val="0"/>
          <w:caps w:val="0"/>
          <w:color w:val="333333"/>
          <w:spacing w:val="0"/>
          <w:kern w:val="2"/>
          <w:sz w:val="20"/>
          <w:szCs w:val="20"/>
          <w:shd w:val="clear" w:fill="FFFFFF"/>
          <w:lang w:val="en-US" w:eastAsia="zh-CN" w:bidi="ar-SA"/>
        </w:rPr>
        <w:t>CO 传感器的布放点位置</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国家现行规范中只对石油化工企业的有毒气体探测器布放要求做了规定，并未对地下车库中 CO传感器安装位置有具体要求，多少米设置一个CO传感器合适？这个问题一直困扰着设计人员，《石油化工可燃气体和有毒气体检测报警设计规范》第4.2.2条针对封闭或局部通风不良的半敞开厂房，有毒气体探测器距释放源不大于 1m。首先车库并不是一个密闭场所，只能算是通风不良场所，每辆汽车都可能成为释放源，释放源的点是不确定的，也不可能给每个车位设置有毒气体探测器。既然规范没有给出答案，只有通过工程实例，经过综合比较，才能给出一个比较合理的数值，经查阅资料调查，目前车库中一个CO浓度探测器的保护半径约为300m 2左右，设计中可按 200～300m2取值，现阶段只能按此值估算探测器数量，探测器尽量安装在车位附近，那里CO浓度比较高。因CO比空气略轻，安装方式一般距离地面1~1.5米，实际工程中多取1m，这个距离一般也是儿童的呼吸高度，故取值比较合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2"/>
        <w:rPr>
          <w:rFonts w:hint="eastAsia" w:ascii="Arial" w:hAnsi="Arial" w:eastAsia="宋体" w:cs="Arial"/>
          <w:b/>
          <w:bCs/>
          <w:i w:val="0"/>
          <w:caps w:val="0"/>
          <w:color w:val="333333"/>
          <w:spacing w:val="0"/>
          <w:kern w:val="2"/>
          <w:sz w:val="20"/>
          <w:szCs w:val="20"/>
          <w:shd w:val="clear" w:fill="FFFFFF"/>
          <w:lang w:val="en-US" w:eastAsia="zh-CN" w:bidi="ar-SA"/>
        </w:rPr>
      </w:pPr>
      <w:bookmarkStart w:id="12" w:name="_Toc15970"/>
      <w:bookmarkStart w:id="13" w:name="_Toc31067"/>
      <w:r>
        <w:rPr>
          <w:rFonts w:hint="eastAsia" w:ascii="Arial" w:hAnsi="Arial" w:eastAsia="宋体" w:cs="Arial"/>
          <w:b/>
          <w:bCs/>
          <w:i w:val="0"/>
          <w:caps w:val="0"/>
          <w:color w:val="333333"/>
          <w:spacing w:val="0"/>
          <w:kern w:val="2"/>
          <w:sz w:val="20"/>
          <w:szCs w:val="20"/>
          <w:shd w:val="clear" w:fill="FFFFFF"/>
          <w:lang w:val="en-US" w:eastAsia="zh-CN" w:bidi="ar-SA"/>
        </w:rPr>
        <w:t>CO变送器主要技术指标</w:t>
      </w:r>
      <w:bookmarkEnd w:id="12"/>
      <w:bookmarkEnd w:id="13"/>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供电电源</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10~30V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平均功耗</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0.18W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输出信号</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温度测量范围</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湿度测量范围</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0~100%RH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温度精度</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湿度精度</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CO分辨率</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CO精度</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CO量程</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0-1000ppm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零点漂移</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工作温度</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工作湿度</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15~90%RH 无冷凝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稳定性</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≤2%信号值/月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响应时间</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预热时间</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重复性</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压力范围</w:t>
            </w:r>
          </w:p>
        </w:tc>
        <w:tc>
          <w:tcPr>
            <w:tcW w:w="42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90~110Kpa</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以上所有规格参数均在环境条件：温度20℃、相对湿度50%RH、1个大气压，待测气体浓度最大不超过传感器量程的环境下测得。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drawing>
          <wp:inline distT="0" distB="0" distL="114300" distR="114300">
            <wp:extent cx="5273040" cy="5273040"/>
            <wp:effectExtent l="0" t="0" r="3810" b="3810"/>
            <wp:docPr id="1" name="图片 1" descr="2345_image_file_copy_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45_image_file_copy_4 (2)"/>
                    <pic:cNvPicPr>
                      <a:picLocks noChangeAspect="1"/>
                    </pic:cNvPicPr>
                  </pic:nvPicPr>
                  <pic:blipFill>
                    <a:blip r:embed="rId5"/>
                    <a:stretch>
                      <a:fillRect/>
                    </a:stretch>
                  </pic:blipFill>
                  <pic:spPr>
                    <a:xfrm>
                      <a:off x="0" y="0"/>
                      <a:ext cx="5273040" cy="527304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2"/>
        <w:rPr>
          <w:rFonts w:hint="eastAsia" w:ascii="Arial" w:hAnsi="Arial" w:eastAsia="宋体" w:cs="Arial"/>
          <w:b/>
          <w:bCs/>
          <w:i w:val="0"/>
          <w:caps w:val="0"/>
          <w:color w:val="333333"/>
          <w:spacing w:val="0"/>
          <w:kern w:val="2"/>
          <w:sz w:val="20"/>
          <w:szCs w:val="20"/>
          <w:shd w:val="clear" w:fill="FFFFFF"/>
          <w:lang w:val="en-US" w:eastAsia="zh-CN" w:bidi="ar-SA"/>
        </w:rPr>
      </w:pPr>
      <w:bookmarkStart w:id="14" w:name="_Toc9925"/>
      <w:r>
        <w:rPr>
          <w:rFonts w:hint="eastAsia" w:ascii="Arial" w:hAnsi="Arial" w:eastAsia="宋体" w:cs="Arial"/>
          <w:b/>
          <w:bCs/>
          <w:i w:val="0"/>
          <w:caps w:val="0"/>
          <w:color w:val="333333"/>
          <w:spacing w:val="0"/>
          <w:kern w:val="2"/>
          <w:sz w:val="20"/>
          <w:szCs w:val="20"/>
          <w:shd w:val="clear" w:fill="FFFFFF"/>
          <w:lang w:val="en-US" w:eastAsia="zh-CN" w:bidi="ar-SA"/>
        </w:rPr>
        <w:t>智能监控主机</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default" w:ascii="宋体" w:hAnsi="宋体" w:eastAsia="宋体" w:cs="宋体"/>
          <w:sz w:val="18"/>
          <w:szCs w:val="18"/>
          <w:lang w:val="en-US" w:eastAsia="zh-CN"/>
        </w:rPr>
        <w:t>为保证</w:t>
      </w:r>
      <w:r>
        <w:rPr>
          <w:rFonts w:hint="eastAsia" w:ascii="宋体" w:hAnsi="宋体" w:eastAsia="宋体" w:cs="宋体"/>
          <w:sz w:val="18"/>
          <w:szCs w:val="18"/>
          <w:lang w:val="en-US" w:eastAsia="zh-CN"/>
        </w:rPr>
        <w:t>地下车库</w:t>
      </w:r>
      <w:r>
        <w:rPr>
          <w:rFonts w:hint="default" w:ascii="宋体" w:hAnsi="宋体" w:eastAsia="宋体" w:cs="宋体"/>
          <w:sz w:val="18"/>
          <w:szCs w:val="18"/>
          <w:lang w:val="en-US" w:eastAsia="zh-CN"/>
        </w:rPr>
        <w:t>的安全、稳定、高效运行，实现用户的最大投资效益，就有必要对</w:t>
      </w:r>
      <w:r>
        <w:rPr>
          <w:rFonts w:hint="eastAsia" w:ascii="宋体" w:hAnsi="宋体" w:eastAsia="宋体" w:cs="宋体"/>
          <w:sz w:val="18"/>
          <w:szCs w:val="18"/>
          <w:lang w:val="en-US" w:eastAsia="zh-CN"/>
        </w:rPr>
        <w:t>地下车库</w:t>
      </w:r>
      <w:r>
        <w:rPr>
          <w:rFonts w:hint="default" w:ascii="宋体" w:hAnsi="宋体" w:eastAsia="宋体" w:cs="宋体"/>
          <w:sz w:val="18"/>
          <w:szCs w:val="18"/>
          <w:lang w:val="en-US" w:eastAsia="zh-CN"/>
        </w:rPr>
        <w:t>进行24小时实时监测与智能化调节控制，以保证</w:t>
      </w:r>
      <w:r>
        <w:rPr>
          <w:rFonts w:hint="eastAsia" w:ascii="宋体" w:hAnsi="宋体" w:eastAsia="宋体" w:cs="宋体"/>
          <w:sz w:val="18"/>
          <w:szCs w:val="18"/>
          <w:lang w:val="en-US" w:eastAsia="zh-CN"/>
        </w:rPr>
        <w:t>地下车库</w:t>
      </w:r>
      <w:r>
        <w:rPr>
          <w:rFonts w:hint="default" w:ascii="宋体" w:hAnsi="宋体" w:eastAsia="宋体" w:cs="宋体"/>
          <w:sz w:val="18"/>
          <w:szCs w:val="18"/>
          <w:lang w:val="en-US" w:eastAsia="zh-CN"/>
        </w:rPr>
        <w:t>运行环境的稳定</w:t>
      </w:r>
      <w:r>
        <w:rPr>
          <w:rFonts w:hint="eastAsia" w:ascii="宋体" w:hAnsi="宋体" w:eastAsia="宋体" w:cs="宋体"/>
          <w:sz w:val="18"/>
          <w:szCs w:val="18"/>
          <w:lang w:val="en-US" w:eastAsia="zh-CN"/>
        </w:rPr>
        <w:t>、</w:t>
      </w:r>
      <w:r>
        <w:rPr>
          <w:rFonts w:hint="default" w:ascii="宋体" w:hAnsi="宋体" w:eastAsia="宋体" w:cs="宋体"/>
          <w:sz w:val="18"/>
          <w:szCs w:val="18"/>
          <w:lang w:val="en-US" w:eastAsia="zh-CN"/>
        </w:rPr>
        <w:t>安全</w:t>
      </w:r>
      <w:r>
        <w:rPr>
          <w:rFonts w:hint="eastAsia" w:ascii="宋体" w:hAnsi="宋体" w:eastAsia="宋体" w:cs="宋体"/>
          <w:sz w:val="18"/>
          <w:szCs w:val="18"/>
          <w:lang w:val="en-US" w:eastAsia="zh-CN"/>
        </w:rPr>
        <w:t>。RS-XZJ-100-Y可以</w:t>
      </w:r>
      <w:r>
        <w:rPr>
          <w:rFonts w:hint="default" w:ascii="宋体" w:hAnsi="宋体" w:eastAsia="宋体" w:cs="宋体"/>
          <w:sz w:val="18"/>
          <w:szCs w:val="18"/>
          <w:lang w:val="en-US" w:eastAsia="zh-CN"/>
        </w:rPr>
        <w:t>方便、统一的监控</w:t>
      </w:r>
      <w:r>
        <w:rPr>
          <w:rFonts w:hint="eastAsia" w:ascii="宋体" w:hAnsi="宋体" w:eastAsia="宋体" w:cs="宋体"/>
          <w:sz w:val="18"/>
          <w:szCs w:val="18"/>
          <w:lang w:val="en-US" w:eastAsia="zh-CN"/>
        </w:rPr>
        <w:t>各种传感器</w:t>
      </w:r>
      <w:r>
        <w:rPr>
          <w:rFonts w:hint="default" w:ascii="宋体" w:hAnsi="宋体" w:eastAsia="宋体" w:cs="宋体"/>
          <w:sz w:val="18"/>
          <w:szCs w:val="18"/>
          <w:lang w:val="en-US" w:eastAsia="zh-CN"/>
        </w:rPr>
        <w:t>的</w:t>
      </w:r>
      <w:r>
        <w:rPr>
          <w:rFonts w:hint="eastAsia" w:ascii="宋体" w:hAnsi="宋体" w:eastAsia="宋体" w:cs="宋体"/>
          <w:sz w:val="18"/>
          <w:szCs w:val="18"/>
          <w:lang w:val="en-US" w:eastAsia="zh-CN"/>
        </w:rPr>
        <w:t>具体参数，</w:t>
      </w:r>
      <w:r>
        <w:rPr>
          <w:rFonts w:hint="default" w:ascii="宋体" w:hAnsi="宋体" w:eastAsia="宋体" w:cs="宋体"/>
          <w:sz w:val="18"/>
          <w:szCs w:val="18"/>
          <w:lang w:val="en-US" w:eastAsia="zh-CN"/>
        </w:rPr>
        <w:t>是一台简单实用的</w:t>
      </w:r>
      <w:r>
        <w:rPr>
          <w:rFonts w:hint="eastAsia" w:ascii="宋体" w:hAnsi="宋体" w:eastAsia="宋体" w:cs="宋体"/>
          <w:sz w:val="18"/>
          <w:szCs w:val="18"/>
          <w:lang w:val="en-US" w:eastAsia="zh-CN"/>
        </w:rPr>
        <w:t>智能监控主机</w:t>
      </w:r>
      <w:r>
        <w:rPr>
          <w:rFonts w:hint="default" w:ascii="宋体" w:hAnsi="宋体" w:eastAsia="宋体" w:cs="宋体"/>
          <w:sz w:val="18"/>
          <w:szCs w:val="18"/>
          <w:lang w:val="en-US" w:eastAsia="zh-CN"/>
        </w:rPr>
        <w:t>，只需要接入网络，按向导简单配置，就可以使用。</w:t>
      </w:r>
      <w:r>
        <w:rPr>
          <w:rFonts w:hint="eastAsia" w:ascii="宋体" w:hAnsi="宋体" w:eastAsia="宋体" w:cs="宋体"/>
          <w:sz w:val="18"/>
          <w:szCs w:val="18"/>
          <w:lang w:val="en-US" w:eastAsia="zh-CN"/>
        </w:rPr>
        <w:t>可及时</w:t>
      </w:r>
      <w:r>
        <w:rPr>
          <w:rFonts w:hint="default" w:ascii="宋体" w:hAnsi="宋体" w:eastAsia="宋体" w:cs="宋体"/>
          <w:sz w:val="18"/>
          <w:szCs w:val="18"/>
          <w:lang w:val="en-US" w:eastAsia="zh-CN"/>
        </w:rPr>
        <w:t>发现</w:t>
      </w:r>
      <w:r>
        <w:rPr>
          <w:rFonts w:hint="eastAsia" w:ascii="宋体" w:hAnsi="宋体" w:eastAsia="宋体" w:cs="宋体"/>
          <w:sz w:val="18"/>
          <w:szCs w:val="18"/>
          <w:lang w:val="en-US" w:eastAsia="zh-CN"/>
        </w:rPr>
        <w:t>地下车库监测</w:t>
      </w:r>
      <w:r>
        <w:rPr>
          <w:rFonts w:hint="default" w:ascii="宋体" w:hAnsi="宋体" w:eastAsia="宋体" w:cs="宋体"/>
          <w:sz w:val="18"/>
          <w:szCs w:val="18"/>
          <w:lang w:val="en-US" w:eastAsia="zh-CN"/>
        </w:rPr>
        <w:t>系统</w:t>
      </w:r>
      <w:r>
        <w:rPr>
          <w:rFonts w:hint="eastAsia" w:ascii="宋体" w:hAnsi="宋体" w:eastAsia="宋体" w:cs="宋体"/>
          <w:sz w:val="18"/>
          <w:szCs w:val="18"/>
          <w:lang w:val="en-US" w:eastAsia="zh-CN"/>
        </w:rPr>
        <w:t>中安全</w:t>
      </w:r>
      <w:r>
        <w:rPr>
          <w:rFonts w:hint="default" w:ascii="宋体" w:hAnsi="宋体" w:eastAsia="宋体" w:cs="宋体"/>
          <w:sz w:val="18"/>
          <w:szCs w:val="18"/>
          <w:lang w:val="en-US" w:eastAsia="zh-CN"/>
        </w:rPr>
        <w:t>隐患，智能</w:t>
      </w:r>
      <w:r>
        <w:rPr>
          <w:rFonts w:hint="eastAsia" w:ascii="宋体" w:hAnsi="宋体" w:eastAsia="宋体" w:cs="宋体"/>
          <w:sz w:val="18"/>
          <w:szCs w:val="18"/>
          <w:lang w:val="en-US" w:eastAsia="zh-CN"/>
        </w:rPr>
        <w:t>告警</w:t>
      </w:r>
      <w:r>
        <w:rPr>
          <w:rFonts w:hint="default" w:ascii="宋体" w:hAnsi="宋体" w:eastAsia="宋体" w:cs="宋体"/>
          <w:sz w:val="18"/>
          <w:szCs w:val="18"/>
          <w:lang w:val="en-US" w:eastAsia="zh-CN"/>
        </w:rPr>
        <w:t>，保障</w:t>
      </w:r>
      <w:r>
        <w:rPr>
          <w:rFonts w:hint="eastAsia" w:ascii="宋体" w:hAnsi="宋体" w:eastAsia="宋体" w:cs="宋体"/>
          <w:sz w:val="18"/>
          <w:szCs w:val="18"/>
          <w:lang w:val="en-US" w:eastAsia="zh-CN"/>
        </w:rPr>
        <w:t>地下车库的</w:t>
      </w:r>
      <w:r>
        <w:rPr>
          <w:rFonts w:hint="default" w:ascii="宋体" w:hAnsi="宋体" w:eastAsia="宋体" w:cs="宋体"/>
          <w:sz w:val="18"/>
          <w:szCs w:val="18"/>
          <w:lang w:val="en-US" w:eastAsia="zh-CN"/>
        </w:rPr>
        <w:t>正常运转。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主要技术指标</w:t>
      </w:r>
    </w:p>
    <w:tbl>
      <w:tblPr>
        <w:tblStyle w:val="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供电</w:t>
            </w:r>
          </w:p>
        </w:tc>
        <w:tc>
          <w:tcPr>
            <w:tcW w:w="7373"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DC10-30V，直流宽电压供电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主外观</w:t>
            </w:r>
          </w:p>
        </w:tc>
        <w:tc>
          <w:tcPr>
            <w:tcW w:w="7373"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大屏液晶显示，配备设置按键，设备超限，屏幕轮显报警通道以及报警实时数据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通信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上行接口</w:t>
            </w: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RJ45网口，通过网口方式上传数据，tcp/ip协议，支持动态域名解析DNS；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通过网口配置，UDP广播协议；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GPRS无线，通过GPRS方式上传数据，tcp/ip协议，支持动态域名解析DNS；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GSM短信，支持短信报警，强大的脱机短信报警功能，报警内容可自定义；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RS-485从站接口，通过RS-485上传数据；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LED屏显示接口，支持最大点阵数1024*256的单色LED显示屏。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2路继电器输出，继电器干接点输出</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继电器容量：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250VAC/30VDC  5A，本继电器可关联到任意通道的上下限，用作现场声光报警或自动控制。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通信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下行接口</w:t>
            </w: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1路机载直流电压检测，接线端子接入直流电压采集，采集量程0-100V，采集精度±0.1V，输入阻抗≥100K，监控主机可设置转换系数；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1路机载交流电压（0-280VAC）检测，接线端子接入交流电压采集，采集量程0-280VAC，可用于市电断电监测，监控主机可设置转换系数；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1路机载水浸检测信号，接线端子接入漏水绳，可进行漏水检测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4路开关量信号输入，可检测干接点通断状态，接线端子外接无源干接点，响应时间≤0.2S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1路翻斗式雨量计脉冲信号输入，采集磁开关脉冲信号进行雨量计量，默认脉冲当量：0.5mm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可上传瞬时雨量（最近一分钟）、当前雨量（本日00:00至当前）、昨日雨量（昨日00:00-24:00）及永久累计雨量值。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（默认采用第四路开关量作为雨量计输入）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RS485主站接口，采集RS485传感器数据，最多可采集32路数据，可自动识别RS485接口从设备是否工作正常。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数据上传间隔</w:t>
            </w:r>
          </w:p>
        </w:tc>
        <w:tc>
          <w:tcPr>
            <w:tcW w:w="73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数据上传间隔1S~10000S可设</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Arial" w:hAnsi="Arial" w:eastAsia="宋体" w:cs="Arial"/>
          <w:b/>
          <w:bCs/>
          <w:i w:val="0"/>
          <w:caps w:val="0"/>
          <w:color w:val="333333"/>
          <w:spacing w:val="0"/>
          <w:kern w:val="2"/>
          <w:sz w:val="20"/>
          <w:szCs w:val="20"/>
          <w:shd w:val="clear" w:fill="FFFFFF"/>
          <w:lang w:val="en-US" w:eastAsia="zh-CN" w:bidi="ar-SA"/>
        </w:rPr>
      </w:pPr>
      <w:r>
        <w:rPr>
          <w:rFonts w:hint="eastAsia" w:ascii="Arial" w:hAnsi="Arial" w:eastAsia="宋体" w:cs="Arial"/>
          <w:b/>
          <w:bCs/>
          <w:i w:val="0"/>
          <w:caps w:val="0"/>
          <w:color w:val="333333"/>
          <w:spacing w:val="0"/>
          <w:kern w:val="2"/>
          <w:sz w:val="20"/>
          <w:szCs w:val="20"/>
          <w:shd w:val="clear" w:fill="FFFFFF"/>
          <w:lang w:val="en-US" w:eastAsia="zh-CN" w:bidi="ar-SA"/>
        </w:rPr>
        <w:drawing>
          <wp:inline distT="0" distB="0" distL="114300" distR="114300">
            <wp:extent cx="5267325" cy="3540760"/>
            <wp:effectExtent l="0" t="0" r="9525" b="2540"/>
            <wp:docPr id="3" name="图片 3" descr="2345_image_file_copy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45_image_file_copy_8"/>
                    <pic:cNvPicPr>
                      <a:picLocks noChangeAspect="1"/>
                    </pic:cNvPicPr>
                  </pic:nvPicPr>
                  <pic:blipFill>
                    <a:blip r:embed="rId6"/>
                    <a:stretch>
                      <a:fillRect/>
                    </a:stretch>
                  </pic:blipFill>
                  <pic:spPr>
                    <a:xfrm>
                      <a:off x="0" y="0"/>
                      <a:ext cx="5267325" cy="354076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Arial" w:hAnsi="Arial" w:eastAsia="宋体" w:cs="Arial"/>
          <w:b/>
          <w:bCs/>
          <w:i w:val="0"/>
          <w:caps w:val="0"/>
          <w:color w:val="333333"/>
          <w:spacing w:val="0"/>
          <w:kern w:val="2"/>
          <w:sz w:val="20"/>
          <w:szCs w:val="20"/>
          <w:shd w:val="clear"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15" w:name="_Toc7513"/>
      <w:r>
        <w:rPr>
          <w:rFonts w:hint="eastAsia" w:ascii="Arial" w:hAnsi="Arial" w:eastAsia="宋体" w:cs="Arial"/>
          <w:b/>
          <w:bCs/>
          <w:i w:val="0"/>
          <w:caps w:val="0"/>
          <w:color w:val="333333"/>
          <w:spacing w:val="0"/>
          <w:kern w:val="2"/>
          <w:sz w:val="21"/>
          <w:szCs w:val="21"/>
          <w:shd w:val="clear" w:fill="FFFFFF"/>
          <w:lang w:val="en-US" w:eastAsia="zh-CN" w:bidi="ar-SA"/>
        </w:rPr>
        <w:t>CO浓度报警子系统</w:t>
      </w:r>
      <w:bookmarkEnd w:id="1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2"/>
        <w:rPr>
          <w:rFonts w:hint="eastAsia" w:ascii="Arial" w:hAnsi="Arial" w:eastAsia="宋体" w:cs="Arial"/>
          <w:b/>
          <w:bCs/>
          <w:i w:val="0"/>
          <w:caps w:val="0"/>
          <w:color w:val="333333"/>
          <w:spacing w:val="0"/>
          <w:kern w:val="2"/>
          <w:sz w:val="20"/>
          <w:szCs w:val="20"/>
          <w:shd w:val="clear" w:fill="FFFFFF"/>
          <w:lang w:val="en-US" w:eastAsia="zh-CN" w:bidi="ar-SA"/>
        </w:rPr>
      </w:pPr>
      <w:bookmarkStart w:id="16" w:name="_Toc31441"/>
      <w:r>
        <w:rPr>
          <w:rFonts w:hint="eastAsia" w:ascii="Arial" w:hAnsi="Arial" w:eastAsia="宋体" w:cs="Arial"/>
          <w:b/>
          <w:bCs/>
          <w:i w:val="0"/>
          <w:caps w:val="0"/>
          <w:color w:val="333333"/>
          <w:spacing w:val="0"/>
          <w:kern w:val="2"/>
          <w:sz w:val="20"/>
          <w:szCs w:val="20"/>
          <w:shd w:val="clear" w:fill="FFFFFF"/>
          <w:lang w:val="en-US" w:eastAsia="zh-CN" w:bidi="ar-SA"/>
        </w:rPr>
        <w:t>CO 浓度报警上限值的确定：</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现阶段国家标准或规范均未对这个极限值做确定，根据研究发现，当CO在空气中的浓度达到200ppm时，人在2-3小时后有轻微的头痛、头晕、恶心状况，故高值最高可设定为200ppm，根据查阅资料调查，在实际使用中，如果考虑体力消耗，正常人允许接触1小时CO 浓度为35ppm，所以35ppm对人是显然有害的，并且不能超过一小时，如果超了会有明显中毒反应，故报警值可设定为30ppm。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2"/>
        <w:rPr>
          <w:rFonts w:hint="eastAsia" w:ascii="Arial" w:hAnsi="Arial" w:eastAsia="宋体" w:cs="Arial"/>
          <w:b/>
          <w:bCs/>
          <w:i w:val="0"/>
          <w:caps w:val="0"/>
          <w:color w:val="333333"/>
          <w:spacing w:val="0"/>
          <w:kern w:val="2"/>
          <w:sz w:val="20"/>
          <w:szCs w:val="20"/>
          <w:shd w:val="clear" w:fill="FFFFFF"/>
          <w:lang w:val="en-US" w:eastAsia="zh-CN" w:bidi="ar-SA"/>
        </w:rPr>
      </w:pPr>
      <w:bookmarkStart w:id="17" w:name="_Toc9659"/>
      <w:r>
        <w:rPr>
          <w:rFonts w:hint="eastAsia" w:ascii="Arial" w:hAnsi="Arial" w:eastAsia="宋体" w:cs="Arial"/>
          <w:b/>
          <w:bCs/>
          <w:i w:val="0"/>
          <w:caps w:val="0"/>
          <w:color w:val="333333"/>
          <w:spacing w:val="0"/>
          <w:kern w:val="2"/>
          <w:sz w:val="20"/>
          <w:szCs w:val="20"/>
          <w:shd w:val="clear" w:fill="FFFFFF"/>
          <w:lang w:val="en-US" w:eastAsia="zh-CN" w:bidi="ar-SA"/>
        </w:rPr>
        <w:t>CO报警输出方式</w:t>
      </w:r>
      <w:bookmarkEnd w:id="17"/>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一旦车库内一氧化碳数值超标，可通过下方任意方式输出报警，通知现场人员或值班人员，</w:t>
      </w:r>
      <w:r>
        <w:rPr>
          <w:rFonts w:hint="default" w:ascii="宋体" w:hAnsi="宋体" w:eastAsia="宋体" w:cs="宋体"/>
          <w:kern w:val="2"/>
          <w:sz w:val="18"/>
          <w:szCs w:val="18"/>
          <w:lang w:val="en-US" w:eastAsia="zh-CN" w:bidi="ar-SA"/>
        </w:rPr>
        <w:t>并控制风机的工作状态，确保整个</w:t>
      </w:r>
      <w:r>
        <w:rPr>
          <w:rFonts w:hint="eastAsia" w:ascii="宋体" w:hAnsi="宋体" w:eastAsia="宋体" w:cs="宋体"/>
          <w:kern w:val="2"/>
          <w:sz w:val="18"/>
          <w:szCs w:val="18"/>
          <w:lang w:val="en-US" w:eastAsia="zh-CN" w:bidi="ar-SA"/>
        </w:rPr>
        <w:t>车库的</w:t>
      </w:r>
      <w:r>
        <w:rPr>
          <w:rFonts w:hint="default" w:ascii="宋体" w:hAnsi="宋体" w:eastAsia="宋体" w:cs="宋体"/>
          <w:kern w:val="2"/>
          <w:sz w:val="18"/>
          <w:szCs w:val="18"/>
          <w:lang w:val="en-US" w:eastAsia="zh-CN" w:bidi="ar-SA"/>
        </w:rPr>
        <w:t>的</w:t>
      </w:r>
      <w:r>
        <w:rPr>
          <w:rFonts w:hint="eastAsia" w:ascii="宋体" w:hAnsi="宋体" w:eastAsia="宋体" w:cs="宋体"/>
          <w:kern w:val="2"/>
          <w:sz w:val="18"/>
          <w:szCs w:val="18"/>
          <w:lang w:val="en-US" w:eastAsia="zh-CN" w:bidi="ar-SA"/>
        </w:rPr>
        <w:t>一氧化碳数</w:t>
      </w:r>
      <w:r>
        <w:rPr>
          <w:rFonts w:hint="default" w:ascii="宋体" w:hAnsi="宋体" w:eastAsia="宋体" w:cs="宋体"/>
          <w:kern w:val="2"/>
          <w:sz w:val="18"/>
          <w:szCs w:val="18"/>
          <w:lang w:val="en-US" w:eastAsia="zh-CN" w:bidi="ar-SA"/>
        </w:rPr>
        <w:t>值保持在预定的标准。</w:t>
      </w:r>
      <w:r>
        <w:rPr>
          <w:rFonts w:hint="eastAsia" w:ascii="宋体" w:hAnsi="宋体" w:eastAsia="宋体" w:cs="宋体"/>
          <w:kern w:val="2"/>
          <w:sz w:val="18"/>
          <w:szCs w:val="18"/>
          <w:lang w:val="en-US" w:eastAsia="zh-CN" w:bidi="ar-SA"/>
        </w:rPr>
        <w:t>CO浓度</w:t>
      </w:r>
      <w:r>
        <w:rPr>
          <w:rFonts w:hint="default" w:ascii="宋体" w:hAnsi="宋体" w:eastAsia="宋体" w:cs="宋体"/>
          <w:kern w:val="2"/>
          <w:sz w:val="18"/>
          <w:szCs w:val="18"/>
          <w:lang w:val="en-US" w:eastAsia="zh-CN" w:bidi="ar-SA"/>
        </w:rPr>
        <w:t>报警系统</w:t>
      </w:r>
      <w:r>
        <w:rPr>
          <w:rFonts w:hint="eastAsia" w:ascii="宋体" w:hAnsi="宋体" w:eastAsia="宋体" w:cs="宋体"/>
          <w:kern w:val="2"/>
          <w:sz w:val="18"/>
          <w:szCs w:val="18"/>
          <w:lang w:val="en-US" w:eastAsia="zh-CN" w:bidi="ar-SA"/>
        </w:rPr>
        <w:t>可大幅度</w:t>
      </w:r>
      <w:r>
        <w:rPr>
          <w:rFonts w:hint="default" w:ascii="宋体" w:hAnsi="宋体" w:eastAsia="宋体" w:cs="宋体"/>
          <w:kern w:val="2"/>
          <w:sz w:val="18"/>
          <w:szCs w:val="18"/>
          <w:lang w:val="en-US" w:eastAsia="zh-CN" w:bidi="ar-SA"/>
        </w:rPr>
        <w:t>降低建设成本和运营成本，提高监控管理的工作效率。对</w:t>
      </w:r>
      <w:r>
        <w:rPr>
          <w:rFonts w:hint="eastAsia" w:ascii="宋体" w:hAnsi="宋体" w:eastAsia="宋体" w:cs="宋体"/>
          <w:kern w:val="2"/>
          <w:sz w:val="18"/>
          <w:szCs w:val="18"/>
          <w:lang w:val="en-US" w:eastAsia="zh-CN" w:bidi="ar-SA"/>
        </w:rPr>
        <w:t>车库CO浓度</w:t>
      </w:r>
      <w:r>
        <w:rPr>
          <w:rFonts w:hint="default" w:ascii="宋体" w:hAnsi="宋体" w:eastAsia="宋体" w:cs="宋体"/>
          <w:kern w:val="2"/>
          <w:sz w:val="18"/>
          <w:szCs w:val="18"/>
          <w:lang w:val="en-US" w:eastAsia="zh-CN" w:bidi="ar-SA"/>
        </w:rPr>
        <w:t>监控报警的重要性，毋庸置疑，必不可少。数据中心报警系统是数据中心环境控制的神经枢纽，</w:t>
      </w:r>
      <w:r>
        <w:rPr>
          <w:rFonts w:hint="eastAsia" w:ascii="宋体" w:hAnsi="宋体" w:eastAsia="宋体" w:cs="宋体"/>
          <w:kern w:val="2"/>
          <w:sz w:val="18"/>
          <w:szCs w:val="18"/>
          <w:lang w:val="en-US" w:eastAsia="zh-CN" w:bidi="ar-SA"/>
        </w:rPr>
        <w:t>可</w:t>
      </w:r>
      <w:r>
        <w:rPr>
          <w:rFonts w:hint="default" w:ascii="宋体" w:hAnsi="宋体" w:eastAsia="宋体" w:cs="宋体"/>
          <w:kern w:val="2"/>
          <w:sz w:val="18"/>
          <w:szCs w:val="18"/>
          <w:lang w:val="en-US" w:eastAsia="zh-CN" w:bidi="ar-SA"/>
        </w:rPr>
        <w:t>保证数据中心在适宜的环境下能让设备运行更加稳定</w:t>
      </w:r>
      <w:r>
        <w:rPr>
          <w:rFonts w:hint="eastAsia" w:ascii="宋体" w:hAnsi="宋体" w:eastAsia="宋体" w:cs="宋体"/>
          <w:kern w:val="2"/>
          <w:sz w:val="18"/>
          <w:szCs w:val="18"/>
          <w:lang w:val="en-US" w:eastAsia="zh-CN" w:bidi="ar-SA"/>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both"/>
        <w:rPr>
          <w:rFonts w:hint="eastAsia" w:ascii="宋体" w:hAnsi="宋体" w:eastAsia="宋体" w:cs="宋体"/>
          <w:sz w:val="18"/>
          <w:szCs w:val="18"/>
          <w:lang w:val="en-US" w:eastAsia="zh-CN"/>
        </w:rPr>
      </w:pPr>
      <w:r>
        <w:rPr>
          <w:rFonts w:hint="eastAsia" w:ascii="宋体" w:hAnsi="宋体" w:eastAsia="宋体" w:cs="宋体"/>
          <w:kern w:val="2"/>
          <w:sz w:val="18"/>
          <w:szCs w:val="18"/>
          <w:lang w:val="en-US" w:eastAsia="zh-CN" w:bidi="ar-SA"/>
        </w:rPr>
        <w:t>本系统可做到：</w:t>
      </w:r>
      <w:r>
        <w:rPr>
          <w:rFonts w:hint="eastAsia" w:ascii="宋体" w:hAnsi="宋体" w:eastAsia="宋体" w:cs="宋体"/>
          <w:kern w:val="2"/>
          <w:sz w:val="18"/>
          <w:szCs w:val="18"/>
          <w:lang w:val="en-US" w:eastAsia="zh-CN" w:bidi="ar-SA"/>
        </w:rPr>
        <w:br w:type="textWrapping"/>
      </w:r>
      <w:r>
        <w:rPr>
          <w:rFonts w:hint="eastAsia" w:ascii="宋体" w:hAnsi="宋体" w:eastAsia="宋体" w:cs="宋体"/>
          <w:kern w:val="2"/>
          <w:sz w:val="18"/>
          <w:szCs w:val="18"/>
          <w:lang w:val="en-US" w:eastAsia="zh-CN" w:bidi="ar-SA"/>
        </w:rPr>
        <w:t>现场声光报警、软件音频报警、邮件报警、短信报警、语音报警</w:t>
      </w:r>
      <w:r>
        <w:rPr>
          <w:rFonts w:hint="eastAsia" w:ascii="宋体" w:hAnsi="宋体" w:eastAsia="宋体" w:cs="宋体"/>
          <w:sz w:val="18"/>
          <w:szCs w:val="18"/>
          <w:lang w:val="en-US"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drawing>
          <wp:inline distT="0" distB="0" distL="114300" distR="114300">
            <wp:extent cx="5267325" cy="5647690"/>
            <wp:effectExtent l="0" t="0" r="9525" b="10160"/>
            <wp:docPr id="4" name="图片 4" descr="2345_image_file_copy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45_image_file_copy_7"/>
                    <pic:cNvPicPr>
                      <a:picLocks noChangeAspect="1"/>
                    </pic:cNvPicPr>
                  </pic:nvPicPr>
                  <pic:blipFill>
                    <a:blip r:embed="rId7"/>
                    <a:stretch>
                      <a:fillRect/>
                    </a:stretch>
                  </pic:blipFill>
                  <pic:spPr>
                    <a:xfrm>
                      <a:off x="0" y="0"/>
                      <a:ext cx="5267325" cy="56476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18" w:name="_Toc1594"/>
      <w:r>
        <w:rPr>
          <w:rFonts w:hint="eastAsia" w:ascii="Arial" w:hAnsi="Arial" w:eastAsia="宋体" w:cs="Arial"/>
          <w:b/>
          <w:bCs/>
          <w:i w:val="0"/>
          <w:caps w:val="0"/>
          <w:color w:val="333333"/>
          <w:spacing w:val="0"/>
          <w:kern w:val="2"/>
          <w:sz w:val="21"/>
          <w:szCs w:val="21"/>
          <w:shd w:val="clear" w:fill="FFFFFF"/>
          <w:lang w:val="en-US" w:eastAsia="zh-CN" w:bidi="ar-SA"/>
        </w:rPr>
        <w:t>CO浓度自动控制子系统</w:t>
      </w:r>
      <w:bookmarkEnd w:id="18"/>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地下车库可根据现场实际环境分为不同控制区域，不同区域根据面积大小，空气流通程度等因素布置不等数量的CO变送器，考虑到同一区域CO变送器分布位置不同，且个体之间存在差异性。为更科学的实现现场联动排风设备，我们可以把指定区域不同数量的CO变送器所采集到的实时CO数值汇总，并通过数据中心软件平台计算出该时刻指定区域CO的实时平均值，并利用该平均值联动风机做现场自动控制，工作人员在中控室足不出户即可查看车库内风机的具体运行状态。</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设定一个</w:t>
      </w:r>
      <w:r>
        <w:rPr>
          <w:rFonts w:hint="eastAsia" w:ascii="宋体" w:hAnsi="宋体" w:eastAsia="宋体" w:cs="宋体"/>
          <w:kern w:val="2"/>
          <w:sz w:val="18"/>
          <w:szCs w:val="18"/>
          <w:lang w:val="en-US" w:eastAsia="zh-CN" w:bidi="ar-SA"/>
        </w:rPr>
        <w:t>区域平均</w:t>
      </w:r>
      <w:r>
        <w:rPr>
          <w:rFonts w:hint="default" w:ascii="宋体" w:hAnsi="宋体" w:eastAsia="宋体" w:cs="宋体"/>
          <w:kern w:val="2"/>
          <w:sz w:val="18"/>
          <w:szCs w:val="18"/>
          <w:lang w:val="en-US" w:eastAsia="zh-CN" w:bidi="ar-SA"/>
        </w:rPr>
        <w:t>值</w:t>
      </w:r>
      <w:r>
        <w:rPr>
          <w:rFonts w:hint="eastAsia" w:ascii="宋体" w:hAnsi="宋体" w:eastAsia="宋体" w:cs="宋体"/>
          <w:kern w:val="2"/>
          <w:sz w:val="18"/>
          <w:szCs w:val="18"/>
          <w:lang w:val="en-US" w:eastAsia="zh-CN" w:bidi="ar-SA"/>
        </w:rPr>
        <w:t>上限作为联动风机的阀值</w:t>
      </w:r>
      <w:r>
        <w:rPr>
          <w:rFonts w:hint="default"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t>并根据现场环境设定该区域的控制回差。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Chars="0" w:right="0" w:rightChars="0"/>
        <w:jc w:val="both"/>
        <w:outlineLvl w:val="9"/>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r>
        <w:rPr>
          <w:rFonts w:hint="default" w:ascii="宋体" w:hAnsi="宋体" w:eastAsia="宋体" w:cs="宋体"/>
          <w:kern w:val="2"/>
          <w:sz w:val="18"/>
          <w:szCs w:val="18"/>
          <w:lang w:val="en-US" w:eastAsia="zh-CN" w:bidi="ar-SA"/>
        </w:rPr>
        <w:t>当</w:t>
      </w:r>
      <w:r>
        <w:rPr>
          <w:rFonts w:hint="eastAsia" w:ascii="宋体" w:hAnsi="宋体" w:eastAsia="宋体" w:cs="宋体"/>
          <w:kern w:val="2"/>
          <w:sz w:val="18"/>
          <w:szCs w:val="18"/>
          <w:lang w:val="en-US" w:eastAsia="zh-CN" w:bidi="ar-SA"/>
        </w:rPr>
        <w:t>该区域</w:t>
      </w:r>
      <w:r>
        <w:rPr>
          <w:rFonts w:hint="default" w:ascii="宋体" w:hAnsi="宋体" w:eastAsia="宋体" w:cs="宋体"/>
          <w:kern w:val="2"/>
          <w:sz w:val="18"/>
          <w:szCs w:val="18"/>
          <w:lang w:val="en-US" w:eastAsia="zh-CN" w:bidi="ar-SA"/>
        </w:rPr>
        <w:t>CO</w:t>
      </w:r>
      <w:r>
        <w:rPr>
          <w:rFonts w:hint="eastAsia" w:ascii="宋体" w:hAnsi="宋体" w:eastAsia="宋体" w:cs="宋体"/>
          <w:kern w:val="2"/>
          <w:sz w:val="18"/>
          <w:szCs w:val="18"/>
          <w:lang w:val="en-US" w:eastAsia="zh-CN" w:bidi="ar-SA"/>
        </w:rPr>
        <w:t>变送器</w:t>
      </w:r>
      <w:r>
        <w:rPr>
          <w:rFonts w:hint="default" w:ascii="宋体" w:hAnsi="宋体" w:eastAsia="宋体" w:cs="宋体"/>
          <w:kern w:val="2"/>
          <w:sz w:val="18"/>
          <w:szCs w:val="18"/>
          <w:lang w:val="en-US" w:eastAsia="zh-CN" w:bidi="ar-SA"/>
        </w:rPr>
        <w:t>测得C</w:t>
      </w:r>
      <w:r>
        <w:rPr>
          <w:rFonts w:hint="eastAsia" w:ascii="宋体" w:hAnsi="宋体" w:eastAsia="宋体" w:cs="宋体"/>
          <w:kern w:val="2"/>
          <w:sz w:val="18"/>
          <w:szCs w:val="18"/>
          <w:lang w:val="en-US" w:eastAsia="zh-CN" w:bidi="ar-SA"/>
        </w:rPr>
        <w:t>O</w:t>
      </w:r>
      <w:r>
        <w:rPr>
          <w:rFonts w:hint="default" w:ascii="宋体" w:hAnsi="宋体" w:eastAsia="宋体" w:cs="宋体"/>
          <w:kern w:val="2"/>
          <w:sz w:val="18"/>
          <w:szCs w:val="18"/>
          <w:lang w:val="en-US" w:eastAsia="zh-CN" w:bidi="ar-SA"/>
        </w:rPr>
        <w:t>气体</w:t>
      </w:r>
      <w:r>
        <w:rPr>
          <w:rFonts w:hint="eastAsia" w:ascii="宋体" w:hAnsi="宋体" w:eastAsia="宋体" w:cs="宋体"/>
          <w:kern w:val="2"/>
          <w:sz w:val="18"/>
          <w:szCs w:val="18"/>
          <w:lang w:val="en-US" w:eastAsia="zh-CN" w:bidi="ar-SA"/>
        </w:rPr>
        <w:t>平均</w:t>
      </w:r>
      <w:r>
        <w:rPr>
          <w:rFonts w:hint="default" w:ascii="宋体" w:hAnsi="宋体" w:eastAsia="宋体" w:cs="宋体"/>
          <w:kern w:val="2"/>
          <w:sz w:val="18"/>
          <w:szCs w:val="18"/>
          <w:lang w:val="en-US" w:eastAsia="zh-CN" w:bidi="ar-SA"/>
        </w:rPr>
        <w:t>浓度达到</w:t>
      </w:r>
      <w:r>
        <w:rPr>
          <w:rFonts w:hint="eastAsia" w:ascii="宋体" w:hAnsi="宋体" w:eastAsia="宋体" w:cs="宋体"/>
          <w:kern w:val="2"/>
          <w:sz w:val="18"/>
          <w:szCs w:val="18"/>
          <w:lang w:val="en-US" w:eastAsia="zh-CN" w:bidi="ar-SA"/>
        </w:rPr>
        <w:t>阀值</w:t>
      </w:r>
      <w:r>
        <w:rPr>
          <w:rFonts w:hint="default" w:ascii="宋体" w:hAnsi="宋体" w:eastAsia="宋体" w:cs="宋体"/>
          <w:kern w:val="2"/>
          <w:sz w:val="18"/>
          <w:szCs w:val="18"/>
          <w:lang w:val="en-US" w:eastAsia="zh-CN" w:bidi="ar-SA"/>
        </w:rPr>
        <w:t>时，</w:t>
      </w:r>
      <w:r>
        <w:rPr>
          <w:rFonts w:hint="eastAsia" w:ascii="宋体" w:hAnsi="宋体" w:eastAsia="宋体" w:cs="宋体"/>
          <w:kern w:val="2"/>
          <w:sz w:val="18"/>
          <w:szCs w:val="18"/>
          <w:lang w:val="en-US" w:eastAsia="zh-CN" w:bidi="ar-SA"/>
        </w:rPr>
        <w:t>网络</w:t>
      </w:r>
      <w:r>
        <w:rPr>
          <w:rFonts w:hint="default" w:ascii="宋体" w:hAnsi="宋体" w:eastAsia="宋体" w:cs="宋体"/>
          <w:kern w:val="2"/>
          <w:sz w:val="18"/>
          <w:szCs w:val="18"/>
          <w:lang w:val="en-US" w:eastAsia="zh-CN" w:bidi="ar-SA"/>
        </w:rPr>
        <w:t>控制器常开继电器触点</w:t>
      </w:r>
      <w:r>
        <w:rPr>
          <w:rFonts w:hint="eastAsia" w:ascii="宋体" w:hAnsi="宋体" w:eastAsia="宋体" w:cs="宋体"/>
          <w:kern w:val="2"/>
          <w:sz w:val="18"/>
          <w:szCs w:val="18"/>
          <w:lang w:val="en-US" w:eastAsia="zh-CN" w:bidi="ar-SA"/>
        </w:rPr>
        <w:t>动作</w:t>
      </w:r>
      <w:r>
        <w:rPr>
          <w:rFonts w:hint="default"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t>自动闭合，</w:t>
      </w:r>
      <w:r>
        <w:rPr>
          <w:rFonts w:hint="default" w:ascii="宋体" w:hAnsi="宋体" w:eastAsia="宋体" w:cs="宋体"/>
          <w:kern w:val="2"/>
          <w:sz w:val="18"/>
          <w:szCs w:val="18"/>
          <w:lang w:val="en-US" w:eastAsia="zh-CN" w:bidi="ar-SA"/>
        </w:rPr>
        <w:t>通过中间继电器开启排风机。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3，当</w:t>
      </w:r>
      <w:r>
        <w:rPr>
          <w:rFonts w:hint="default" w:ascii="宋体" w:hAnsi="宋体" w:eastAsia="宋体" w:cs="宋体"/>
          <w:kern w:val="2"/>
          <w:sz w:val="18"/>
          <w:szCs w:val="18"/>
          <w:lang w:val="en-US" w:eastAsia="zh-CN" w:bidi="ar-SA"/>
        </w:rPr>
        <w:t>排风机运行一段时间后，CO</w:t>
      </w:r>
      <w:r>
        <w:rPr>
          <w:rFonts w:hint="eastAsia" w:ascii="宋体" w:hAnsi="宋体" w:eastAsia="宋体" w:cs="宋体"/>
          <w:kern w:val="2"/>
          <w:sz w:val="18"/>
          <w:szCs w:val="18"/>
          <w:lang w:val="en-US" w:eastAsia="zh-CN" w:bidi="ar-SA"/>
        </w:rPr>
        <w:t>变送器</w:t>
      </w:r>
      <w:r>
        <w:rPr>
          <w:rFonts w:hint="default" w:ascii="宋体" w:hAnsi="宋体" w:eastAsia="宋体" w:cs="宋体"/>
          <w:kern w:val="2"/>
          <w:sz w:val="18"/>
          <w:szCs w:val="18"/>
          <w:lang w:val="en-US" w:eastAsia="zh-CN" w:bidi="ar-SA"/>
        </w:rPr>
        <w:t>测得CO气体</w:t>
      </w:r>
      <w:r>
        <w:rPr>
          <w:rFonts w:hint="eastAsia" w:ascii="宋体" w:hAnsi="宋体" w:eastAsia="宋体" w:cs="宋体"/>
          <w:kern w:val="2"/>
          <w:sz w:val="18"/>
          <w:szCs w:val="18"/>
          <w:lang w:val="en-US" w:eastAsia="zh-CN" w:bidi="ar-SA"/>
        </w:rPr>
        <w:t>平均</w:t>
      </w:r>
      <w:r>
        <w:rPr>
          <w:rFonts w:hint="default" w:ascii="宋体" w:hAnsi="宋体" w:eastAsia="宋体" w:cs="宋体"/>
          <w:kern w:val="2"/>
          <w:sz w:val="18"/>
          <w:szCs w:val="18"/>
          <w:lang w:val="en-US" w:eastAsia="zh-CN" w:bidi="ar-SA"/>
        </w:rPr>
        <w:t>浓度</w:t>
      </w:r>
      <w:r>
        <w:rPr>
          <w:rFonts w:hint="eastAsia" w:ascii="宋体" w:hAnsi="宋体" w:eastAsia="宋体" w:cs="宋体"/>
          <w:kern w:val="2"/>
          <w:sz w:val="18"/>
          <w:szCs w:val="18"/>
          <w:lang w:val="en-US" w:eastAsia="zh-CN" w:bidi="ar-SA"/>
        </w:rPr>
        <w:t>逐步降低，当降低幅度大于所设置的区域回差值</w:t>
      </w:r>
      <w:r>
        <w:rPr>
          <w:rFonts w:hint="default" w:ascii="宋体" w:hAnsi="宋体" w:eastAsia="宋体" w:cs="宋体"/>
          <w:kern w:val="2"/>
          <w:sz w:val="18"/>
          <w:szCs w:val="18"/>
          <w:lang w:val="en-US" w:eastAsia="zh-CN" w:bidi="ar-SA"/>
        </w:rPr>
        <w:t>时，</w:t>
      </w:r>
      <w:r>
        <w:rPr>
          <w:rFonts w:hint="eastAsia" w:ascii="宋体" w:hAnsi="宋体" w:eastAsia="宋体" w:cs="宋体"/>
          <w:kern w:val="2"/>
          <w:sz w:val="18"/>
          <w:szCs w:val="18"/>
          <w:lang w:val="en-US" w:eastAsia="zh-CN" w:bidi="ar-SA"/>
        </w:rPr>
        <w:t>网络控制器由闭合状态变成断开状态，排风机停止工作，本次排风结束。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drawing>
          <wp:inline distT="0" distB="0" distL="114300" distR="114300">
            <wp:extent cx="5272405" cy="4126230"/>
            <wp:effectExtent l="0" t="0" r="4445" b="7620"/>
            <wp:docPr id="5" name="图片 5" descr="2345_image_file_copy_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45_image_file_copy_2 - 副本"/>
                    <pic:cNvPicPr>
                      <a:picLocks noChangeAspect="1"/>
                    </pic:cNvPicPr>
                  </pic:nvPicPr>
                  <pic:blipFill>
                    <a:blip r:embed="rId8"/>
                    <a:stretch>
                      <a:fillRect/>
                    </a:stretch>
                  </pic:blipFill>
                  <pic:spPr>
                    <a:xfrm>
                      <a:off x="0" y="0"/>
                      <a:ext cx="5272405" cy="412623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19" w:name="_Toc32631"/>
      <w:r>
        <w:rPr>
          <w:rFonts w:hint="eastAsia" w:ascii="Arial" w:hAnsi="Arial" w:eastAsia="宋体" w:cs="Arial"/>
          <w:b/>
          <w:bCs/>
          <w:i w:val="0"/>
          <w:caps w:val="0"/>
          <w:color w:val="333333"/>
          <w:spacing w:val="0"/>
          <w:kern w:val="2"/>
          <w:sz w:val="21"/>
          <w:szCs w:val="21"/>
          <w:shd w:val="clear" w:fill="FFFFFF"/>
          <w:lang w:val="en-US" w:eastAsia="zh-CN" w:bidi="ar-SA"/>
        </w:rPr>
        <w:t>视频监控系统</w:t>
      </w:r>
      <w:bookmarkEnd w:id="19"/>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视频监控系统采用成熟的数字硬盘录像技术，在地下车库安装红外摄像机，实现对库房24小时不间断图像监控，并可以回放查询录像记录。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对于大型的监控系统而言，以</w:t>
      </w:r>
      <w:r>
        <w:rPr>
          <w:rFonts w:hint="eastAsia" w:ascii="宋体" w:hAnsi="宋体" w:eastAsia="宋体" w:cs="宋体"/>
          <w:kern w:val="2"/>
          <w:sz w:val="18"/>
          <w:szCs w:val="18"/>
          <w:lang w:val="en-US" w:eastAsia="zh-CN" w:bidi="ar-SA"/>
        </w:rPr>
        <w:t>视频实时监控的</w:t>
      </w:r>
      <w:r>
        <w:rPr>
          <w:rFonts w:hint="default" w:ascii="宋体" w:hAnsi="宋体" w:eastAsia="宋体" w:cs="宋体"/>
          <w:kern w:val="2"/>
          <w:sz w:val="18"/>
          <w:szCs w:val="18"/>
          <w:lang w:val="en-US" w:eastAsia="zh-CN" w:bidi="ar-SA"/>
        </w:rPr>
        <w:t>方式来集中管理各个场地的数据十分方便。由于将</w:t>
      </w:r>
      <w:r>
        <w:rPr>
          <w:rFonts w:hint="default" w:ascii="宋体" w:hAnsi="宋体" w:eastAsia="宋体" w:cs="宋体"/>
          <w:kern w:val="2"/>
          <w:sz w:val="18"/>
          <w:szCs w:val="18"/>
          <w:lang w:val="en-US" w:eastAsia="zh-CN" w:bidi="ar-SA"/>
        </w:rPr>
        <w:fldChar w:fldCharType="begin"/>
      </w:r>
      <w:r>
        <w:rPr>
          <w:rFonts w:hint="default" w:ascii="宋体" w:hAnsi="宋体" w:eastAsia="宋体" w:cs="宋体"/>
          <w:kern w:val="2"/>
          <w:sz w:val="18"/>
          <w:szCs w:val="18"/>
          <w:lang w:val="en-US" w:eastAsia="zh-CN" w:bidi="ar-SA"/>
        </w:rPr>
        <w:instrText xml:space="preserve"> HYPERLINK "https://baike.baidu.com/item/%E6%9C%BA%E6%88%BF%E7%9B%91%E6%8E%A7%E7%B3%BB%E7%BB%9F" \t "https://baike.baidu.com/item/%E6%9C%BA%E6%88%BF%E7%9B%91%E6%8E%A7/_blank" </w:instrText>
      </w:r>
      <w:r>
        <w:rPr>
          <w:rFonts w:hint="default" w:ascii="宋体" w:hAnsi="宋体" w:eastAsia="宋体" w:cs="宋体"/>
          <w:kern w:val="2"/>
          <w:sz w:val="18"/>
          <w:szCs w:val="18"/>
          <w:lang w:val="en-US" w:eastAsia="zh-CN" w:bidi="ar-SA"/>
        </w:rPr>
        <w:fldChar w:fldCharType="separate"/>
      </w:r>
      <w:r>
        <w:rPr>
          <w:rFonts w:hint="eastAsia" w:ascii="宋体" w:hAnsi="宋体" w:eastAsia="宋体" w:cs="宋体"/>
          <w:kern w:val="2"/>
          <w:sz w:val="18"/>
          <w:szCs w:val="18"/>
          <w:lang w:val="en-US" w:eastAsia="zh-CN" w:bidi="ar-SA"/>
        </w:rPr>
        <w:t>环境</w:t>
      </w:r>
      <w:r>
        <w:rPr>
          <w:rFonts w:hint="default" w:ascii="宋体" w:hAnsi="宋体" w:eastAsia="宋体" w:cs="宋体"/>
          <w:kern w:val="2"/>
          <w:sz w:val="18"/>
          <w:szCs w:val="18"/>
          <w:lang w:val="en-US" w:eastAsia="zh-CN" w:bidi="ar-SA"/>
        </w:rPr>
        <w:t>监控系统</w:t>
      </w:r>
      <w:r>
        <w:rPr>
          <w:rFonts w:hint="default" w:ascii="宋体" w:hAnsi="宋体" w:eastAsia="宋体" w:cs="宋体"/>
          <w:kern w:val="2"/>
          <w:sz w:val="18"/>
          <w:szCs w:val="18"/>
          <w:lang w:val="en-US" w:eastAsia="zh-CN" w:bidi="ar-SA"/>
        </w:rPr>
        <w:fldChar w:fldCharType="end"/>
      </w:r>
      <w:r>
        <w:rPr>
          <w:rFonts w:hint="default" w:ascii="宋体" w:hAnsi="宋体" w:eastAsia="宋体" w:cs="宋体"/>
          <w:kern w:val="2"/>
          <w:sz w:val="18"/>
          <w:szCs w:val="18"/>
          <w:lang w:val="en-US" w:eastAsia="zh-CN" w:bidi="ar-SA"/>
        </w:rPr>
        <w:t>和</w:t>
      </w:r>
      <w:r>
        <w:rPr>
          <w:rFonts w:hint="eastAsia" w:ascii="宋体" w:hAnsi="宋体" w:eastAsia="宋体" w:cs="宋体"/>
          <w:kern w:val="2"/>
          <w:sz w:val="18"/>
          <w:szCs w:val="18"/>
          <w:lang w:val="en-US" w:eastAsia="zh-CN" w:bidi="ar-SA"/>
        </w:rPr>
        <w:t>视频</w:t>
      </w:r>
      <w:r>
        <w:rPr>
          <w:rFonts w:hint="default" w:ascii="宋体" w:hAnsi="宋体" w:eastAsia="宋体" w:cs="宋体"/>
          <w:kern w:val="2"/>
          <w:sz w:val="18"/>
          <w:szCs w:val="18"/>
          <w:lang w:val="en-US" w:eastAsia="zh-CN" w:bidi="ar-SA"/>
        </w:rPr>
        <w:t>监控合二为一，一旦有异常事件发生，</w:t>
      </w:r>
      <w:r>
        <w:rPr>
          <w:rFonts w:hint="eastAsia" w:ascii="宋体" w:hAnsi="宋体" w:eastAsia="宋体" w:cs="宋体"/>
          <w:kern w:val="2"/>
          <w:sz w:val="18"/>
          <w:szCs w:val="18"/>
          <w:lang w:val="en-US" w:eastAsia="zh-CN" w:bidi="ar-SA"/>
        </w:rPr>
        <w:t>环境</w:t>
      </w:r>
      <w:r>
        <w:rPr>
          <w:rFonts w:hint="default" w:ascii="宋体" w:hAnsi="宋体" w:eastAsia="宋体" w:cs="宋体"/>
          <w:kern w:val="2"/>
          <w:sz w:val="18"/>
          <w:szCs w:val="18"/>
          <w:lang w:val="en-US" w:eastAsia="zh-CN" w:bidi="ar-SA"/>
        </w:rPr>
        <w:t>监控系统自动弹出</w:t>
      </w:r>
      <w:r>
        <w:rPr>
          <w:rFonts w:hint="eastAsia" w:ascii="宋体" w:hAnsi="宋体" w:eastAsia="宋体" w:cs="宋体"/>
          <w:kern w:val="2"/>
          <w:sz w:val="18"/>
          <w:szCs w:val="18"/>
          <w:lang w:val="en-US" w:eastAsia="zh-CN" w:bidi="ar-SA"/>
        </w:rPr>
        <w:t>数据报警弹窗</w:t>
      </w:r>
      <w:r>
        <w:rPr>
          <w:rFonts w:hint="default"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t>监控人员可</w:t>
      </w:r>
      <w:r>
        <w:rPr>
          <w:rFonts w:hint="default" w:ascii="宋体" w:hAnsi="宋体" w:eastAsia="宋体" w:cs="宋体"/>
          <w:kern w:val="2"/>
          <w:sz w:val="18"/>
          <w:szCs w:val="18"/>
          <w:lang w:val="en-US" w:eastAsia="zh-CN" w:bidi="ar-SA"/>
        </w:rPr>
        <w:t>即时</w:t>
      </w:r>
      <w:r>
        <w:rPr>
          <w:rFonts w:hint="eastAsia" w:ascii="宋体" w:hAnsi="宋体" w:eastAsia="宋体" w:cs="宋体"/>
          <w:kern w:val="2"/>
          <w:sz w:val="18"/>
          <w:szCs w:val="18"/>
          <w:lang w:val="en-US" w:eastAsia="zh-CN" w:bidi="ar-SA"/>
        </w:rPr>
        <w:t>调取相关区域视频</w:t>
      </w:r>
      <w:r>
        <w:rPr>
          <w:rFonts w:hint="default" w:ascii="宋体" w:hAnsi="宋体" w:eastAsia="宋体" w:cs="宋体"/>
          <w:kern w:val="2"/>
          <w:sz w:val="18"/>
          <w:szCs w:val="18"/>
          <w:lang w:val="en-US" w:eastAsia="zh-CN" w:bidi="ar-SA"/>
        </w:rPr>
        <w:t>并作报警提示和处理。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Arial" w:hAnsi="Arial" w:eastAsia="宋体" w:cs="Arial"/>
          <w:b/>
          <w:bCs/>
          <w:i w:val="0"/>
          <w:caps w:val="0"/>
          <w:color w:val="333333"/>
          <w:spacing w:val="0"/>
          <w:kern w:val="2"/>
          <w:sz w:val="21"/>
          <w:szCs w:val="21"/>
          <w:shd w:val="clear" w:fill="FFFFFF"/>
          <w:lang w:val="en-US" w:eastAsia="zh-CN" w:bidi="ar-SA"/>
        </w:rPr>
      </w:pPr>
      <w:r>
        <w:rPr>
          <w:rFonts w:hint="eastAsia" w:ascii="宋体" w:hAnsi="宋体" w:eastAsia="宋体" w:cs="宋体"/>
          <w:kern w:val="2"/>
          <w:sz w:val="18"/>
          <w:szCs w:val="18"/>
          <w:lang w:val="en-US" w:eastAsia="zh-CN" w:bidi="ar-SA"/>
        </w:rPr>
        <w:t>视频监控系统，我司推荐客户使用海康系列摄像头（自备），</w:t>
      </w:r>
      <w:r>
        <w:rPr>
          <w:rFonts w:hint="default" w:ascii="宋体" w:hAnsi="宋体" w:eastAsia="宋体" w:cs="宋体"/>
          <w:kern w:val="2"/>
          <w:sz w:val="18"/>
          <w:szCs w:val="18"/>
          <w:lang w:val="en-US" w:eastAsia="zh-CN" w:bidi="ar-SA"/>
        </w:rPr>
        <w:fldChar w:fldCharType="begin"/>
      </w:r>
      <w:r>
        <w:rPr>
          <w:rFonts w:hint="default" w:ascii="宋体" w:hAnsi="宋体" w:eastAsia="宋体" w:cs="宋体"/>
          <w:kern w:val="2"/>
          <w:sz w:val="18"/>
          <w:szCs w:val="18"/>
          <w:lang w:val="en-US" w:eastAsia="zh-CN" w:bidi="ar-SA"/>
        </w:rPr>
        <w:instrText xml:space="preserve"> HYPERLINK "https://baike.baidu.com/item/%E6%B5%B7%E5%BA%B7%E5%A8%81%E8%A7%86" \t "https://baike.baidu.com/item/_blank" </w:instrText>
      </w:r>
      <w:r>
        <w:rPr>
          <w:rFonts w:hint="default" w:ascii="宋体" w:hAnsi="宋体" w:eastAsia="宋体" w:cs="宋体"/>
          <w:kern w:val="2"/>
          <w:sz w:val="18"/>
          <w:szCs w:val="18"/>
          <w:lang w:val="en-US" w:eastAsia="zh-CN" w:bidi="ar-SA"/>
        </w:rPr>
        <w:fldChar w:fldCharType="separate"/>
      </w:r>
      <w:r>
        <w:rPr>
          <w:rFonts w:hint="default" w:ascii="宋体" w:hAnsi="宋体" w:eastAsia="宋体" w:cs="宋体"/>
          <w:kern w:val="2"/>
          <w:sz w:val="18"/>
          <w:szCs w:val="18"/>
          <w:lang w:val="en-US" w:eastAsia="zh-CN" w:bidi="ar-SA"/>
        </w:rPr>
        <w:t>海康威视</w:t>
      </w:r>
      <w:r>
        <w:rPr>
          <w:rFonts w:hint="default" w:ascii="宋体" w:hAnsi="宋体" w:eastAsia="宋体" w:cs="宋体"/>
          <w:kern w:val="2"/>
          <w:sz w:val="18"/>
          <w:szCs w:val="18"/>
          <w:lang w:val="en-US" w:eastAsia="zh-CN" w:bidi="ar-SA"/>
        </w:rPr>
        <w:fldChar w:fldCharType="end"/>
      </w:r>
      <w:r>
        <w:rPr>
          <w:rFonts w:hint="eastAsia" w:ascii="宋体" w:hAnsi="宋体" w:eastAsia="宋体" w:cs="宋体"/>
          <w:kern w:val="2"/>
          <w:sz w:val="18"/>
          <w:szCs w:val="18"/>
          <w:lang w:val="en-US" w:eastAsia="zh-CN" w:bidi="ar-SA"/>
        </w:rPr>
        <w:t>在</w:t>
      </w:r>
      <w:r>
        <w:rPr>
          <w:rFonts w:hint="default" w:ascii="宋体" w:hAnsi="宋体" w:eastAsia="宋体" w:cs="宋体"/>
          <w:kern w:val="2"/>
          <w:sz w:val="18"/>
          <w:szCs w:val="18"/>
          <w:lang w:val="en-US" w:eastAsia="zh-CN" w:bidi="ar-SA"/>
        </w:rPr>
        <w:t>视频处理技术和视频分析技术</w:t>
      </w:r>
      <w:r>
        <w:rPr>
          <w:rFonts w:hint="eastAsia" w:ascii="宋体" w:hAnsi="宋体" w:eastAsia="宋体" w:cs="宋体"/>
          <w:kern w:val="2"/>
          <w:sz w:val="18"/>
          <w:szCs w:val="18"/>
          <w:lang w:val="en-US" w:eastAsia="zh-CN" w:bidi="ar-SA"/>
        </w:rPr>
        <w:t>领域</w:t>
      </w:r>
      <w:r>
        <w:rPr>
          <w:rFonts w:hint="default" w:ascii="宋体" w:hAnsi="宋体" w:eastAsia="宋体" w:cs="宋体"/>
          <w:kern w:val="2"/>
          <w:sz w:val="18"/>
          <w:szCs w:val="18"/>
          <w:lang w:val="en-US" w:eastAsia="zh-CN" w:bidi="ar-SA"/>
        </w:rPr>
        <w:t>是领先的安防产品及行业解决方案提供商，拥有业内领先的自主核心技术和可持续研发能力</w:t>
      </w:r>
      <w:r>
        <w:rPr>
          <w:rFonts w:hint="eastAsia" w:ascii="宋体" w:hAnsi="宋体" w:eastAsia="宋体" w:cs="宋体"/>
          <w:kern w:val="2"/>
          <w:sz w:val="18"/>
          <w:szCs w:val="18"/>
          <w:lang w:val="en-US" w:eastAsia="zh-CN" w:bidi="ar-SA"/>
        </w:rPr>
        <w:t>，我公司针对海康系列摄像头特配套研发生产了视频字符叠加器</w:t>
      </w:r>
      <w:r>
        <w:rPr>
          <w:rFonts w:hint="default"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t>用户可在不影响原有视频传输路径的同时，采集地下车库环境监控主机中485从站口数据，叠加在现有的视频画面上，本系统可做到环境监测数据与视频画面同步实时显示的同时，并随视频画面一并保存在硬盘录像机中，为视频溯源提供数据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主要技术指标</w:t>
      </w:r>
    </w:p>
    <w:tbl>
      <w:tblPr>
        <w:tblStyle w:val="9"/>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6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502"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供电</w:t>
            </w:r>
          </w:p>
        </w:tc>
        <w:tc>
          <w:tcPr>
            <w:tcW w:w="625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DC10-30V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502"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适用摄像头</w:t>
            </w:r>
          </w:p>
        </w:tc>
        <w:tc>
          <w:tcPr>
            <w:tcW w:w="625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海康网络摄像头所有型号（其他摄像头需定制）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502"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采集信号</w:t>
            </w:r>
          </w:p>
        </w:tc>
        <w:tc>
          <w:tcPr>
            <w:tcW w:w="625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匹配所有标准Modbus-RTU通信设备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502"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输出信号</w:t>
            </w:r>
          </w:p>
        </w:tc>
        <w:tc>
          <w:tcPr>
            <w:tcW w:w="625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RJ45网口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jc w:val="center"/>
        </w:trPr>
        <w:tc>
          <w:tcPr>
            <w:tcW w:w="2502"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功能特点</w:t>
            </w:r>
          </w:p>
        </w:tc>
        <w:tc>
          <w:tcPr>
            <w:tcW w:w="625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■产品可同时处理多台摄像机字符信息，最多可同时支持4台摄像机叠加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■产品可接入多台485设备，最多可接入16台485设备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■独立软件配置，功能强大，界面简洁，操作简单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■摄像头底层协议对接，不影响原有视频信号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■字符显示位置全显示屏可调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■支持任意中文、英文、标点显示，每行最多可显示22个汉字或44个字符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■摄像头实时显示监视现场的数据变化</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drawing>
          <wp:inline distT="0" distB="0" distL="114300" distR="114300">
            <wp:extent cx="5264150" cy="3855720"/>
            <wp:effectExtent l="0" t="0" r="12700" b="11430"/>
            <wp:docPr id="7" name="图片 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pic:cNvPicPr>
                      <a:picLocks noChangeAspect="1"/>
                    </pic:cNvPicPr>
                  </pic:nvPicPr>
                  <pic:blipFill>
                    <a:blip r:embed="rId9"/>
                    <a:stretch>
                      <a:fillRect/>
                    </a:stretch>
                  </pic:blipFill>
                  <pic:spPr>
                    <a:xfrm>
                      <a:off x="0" y="0"/>
                      <a:ext cx="5264150" cy="385572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1"/>
        <w:rPr>
          <w:rFonts w:hint="eastAsia" w:ascii="Arial" w:hAnsi="Arial" w:eastAsia="宋体" w:cs="Arial"/>
          <w:b/>
          <w:bCs/>
          <w:i w:val="0"/>
          <w:caps w:val="0"/>
          <w:color w:val="333333"/>
          <w:spacing w:val="0"/>
          <w:kern w:val="2"/>
          <w:sz w:val="21"/>
          <w:szCs w:val="21"/>
          <w:shd w:val="clear" w:fill="FFFFFF"/>
          <w:lang w:val="en-US" w:eastAsia="zh-CN" w:bidi="ar-SA"/>
        </w:rPr>
      </w:pPr>
      <w:bookmarkStart w:id="20" w:name="_Toc18499"/>
      <w:r>
        <w:rPr>
          <w:rFonts w:hint="eastAsia" w:ascii="Arial" w:hAnsi="Arial" w:eastAsia="宋体" w:cs="Arial"/>
          <w:b/>
          <w:bCs/>
          <w:i w:val="0"/>
          <w:caps w:val="0"/>
          <w:color w:val="333333"/>
          <w:spacing w:val="0"/>
          <w:kern w:val="2"/>
          <w:sz w:val="21"/>
          <w:szCs w:val="21"/>
          <w:shd w:val="clear" w:fill="FFFFFF"/>
          <w:lang w:val="en-US" w:eastAsia="zh-CN" w:bidi="ar-SA"/>
        </w:rPr>
        <w:t>中心主控系统（服务器、管理平台）</w:t>
      </w:r>
      <w:bookmarkEnd w:id="2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1、实时显示被监控现场监控设备的工作状态、运行参数；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2、能远程</w:t>
      </w:r>
      <w:r>
        <w:rPr>
          <w:rFonts w:hint="eastAsia" w:ascii="宋体" w:hAnsi="宋体" w:eastAsia="宋体" w:cs="宋体"/>
          <w:kern w:val="2"/>
          <w:sz w:val="18"/>
          <w:szCs w:val="18"/>
          <w:lang w:val="en-US" w:eastAsia="zh-CN" w:bidi="ar-SA"/>
        </w:rPr>
        <w:t>的</w:t>
      </w:r>
      <w:r>
        <w:rPr>
          <w:rFonts w:hint="default" w:ascii="宋体" w:hAnsi="宋体" w:eastAsia="宋体" w:cs="宋体"/>
          <w:kern w:val="2"/>
          <w:sz w:val="18"/>
          <w:szCs w:val="18"/>
          <w:lang w:val="en-US" w:eastAsia="zh-CN" w:bidi="ar-SA"/>
        </w:rPr>
        <w:t>对监控现场</w:t>
      </w:r>
      <w:r>
        <w:rPr>
          <w:rFonts w:hint="eastAsia" w:ascii="宋体" w:hAnsi="宋体" w:eastAsia="宋体" w:cs="宋体"/>
          <w:kern w:val="2"/>
          <w:sz w:val="18"/>
          <w:szCs w:val="18"/>
          <w:lang w:val="en-US" w:eastAsia="zh-CN" w:bidi="ar-SA"/>
        </w:rPr>
        <w:t>的</w:t>
      </w:r>
      <w:r>
        <w:rPr>
          <w:rFonts w:hint="default" w:ascii="宋体" w:hAnsi="宋体" w:eastAsia="宋体" w:cs="宋体"/>
          <w:kern w:val="2"/>
          <w:sz w:val="18"/>
          <w:szCs w:val="18"/>
          <w:lang w:val="en-US" w:eastAsia="zh-CN" w:bidi="ar-SA"/>
        </w:rPr>
        <w:t>监控设备</w:t>
      </w:r>
      <w:r>
        <w:rPr>
          <w:rFonts w:hint="eastAsia" w:ascii="宋体" w:hAnsi="宋体" w:eastAsia="宋体" w:cs="宋体"/>
          <w:kern w:val="2"/>
          <w:sz w:val="18"/>
          <w:szCs w:val="18"/>
          <w:lang w:val="en-US" w:eastAsia="zh-CN" w:bidi="ar-SA"/>
        </w:rPr>
        <w:t>在线</w:t>
      </w:r>
      <w:r>
        <w:rPr>
          <w:rFonts w:hint="default" w:ascii="宋体" w:hAnsi="宋体" w:eastAsia="宋体" w:cs="宋体"/>
          <w:kern w:val="2"/>
          <w:sz w:val="18"/>
          <w:szCs w:val="18"/>
          <w:lang w:val="en-US" w:eastAsia="zh-CN" w:bidi="ar-SA"/>
        </w:rPr>
        <w:t>调整配置参数；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3、可根据告警确认，声光提示告警；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4、告警条件</w:t>
      </w:r>
      <w:r>
        <w:rPr>
          <w:rFonts w:hint="eastAsia" w:ascii="宋体" w:hAnsi="宋体" w:eastAsia="宋体" w:cs="宋体"/>
          <w:kern w:val="2"/>
          <w:sz w:val="18"/>
          <w:szCs w:val="18"/>
          <w:lang w:val="en-US" w:eastAsia="zh-CN" w:bidi="ar-SA"/>
        </w:rPr>
        <w:t>及</w:t>
      </w:r>
      <w:r>
        <w:rPr>
          <w:rFonts w:hint="default" w:ascii="宋体" w:hAnsi="宋体" w:eastAsia="宋体" w:cs="宋体"/>
          <w:kern w:val="2"/>
          <w:sz w:val="18"/>
          <w:szCs w:val="18"/>
          <w:lang w:val="en-US" w:eastAsia="zh-CN" w:bidi="ar-SA"/>
        </w:rPr>
        <w:t>告警是否屏蔽可根据现场情况由</w:t>
      </w:r>
      <w:r>
        <w:rPr>
          <w:rFonts w:hint="default" w:ascii="宋体" w:hAnsi="宋体" w:eastAsia="宋体" w:cs="宋体"/>
          <w:kern w:val="2"/>
          <w:sz w:val="18"/>
          <w:szCs w:val="18"/>
          <w:lang w:val="en-US" w:eastAsia="zh-CN" w:bidi="ar-SA"/>
        </w:rPr>
        <w:fldChar w:fldCharType="begin"/>
      </w:r>
      <w:r>
        <w:rPr>
          <w:rFonts w:hint="default" w:ascii="宋体" w:hAnsi="宋体" w:eastAsia="宋体" w:cs="宋体"/>
          <w:kern w:val="2"/>
          <w:sz w:val="18"/>
          <w:szCs w:val="18"/>
          <w:lang w:val="en-US" w:eastAsia="zh-CN" w:bidi="ar-SA"/>
        </w:rPr>
        <w:instrText xml:space="preserve"> HYPERLINK "https://baike.baidu.com/item/%E7%B3%BB%E7%BB%9F%E7%AE%A1%E7%90%86%E5%91%98" \t "https://baike.baidu.com/item/%E6%9C%BA%E6%88%BF%E7%9B%91%E6%8E%A7/_blank" </w:instrText>
      </w:r>
      <w:r>
        <w:rPr>
          <w:rFonts w:hint="default" w:ascii="宋体" w:hAnsi="宋体" w:eastAsia="宋体" w:cs="宋体"/>
          <w:kern w:val="2"/>
          <w:sz w:val="18"/>
          <w:szCs w:val="18"/>
          <w:lang w:val="en-US" w:eastAsia="zh-CN" w:bidi="ar-SA"/>
        </w:rPr>
        <w:fldChar w:fldCharType="separate"/>
      </w:r>
      <w:r>
        <w:rPr>
          <w:rFonts w:hint="default" w:ascii="宋体" w:hAnsi="宋体" w:eastAsia="宋体" w:cs="宋体"/>
          <w:kern w:val="2"/>
          <w:sz w:val="18"/>
          <w:szCs w:val="18"/>
          <w:lang w:val="en-US" w:eastAsia="zh-CN" w:bidi="ar-SA"/>
        </w:rPr>
        <w:t>系统管理员</w:t>
      </w:r>
      <w:r>
        <w:rPr>
          <w:rFonts w:hint="default" w:ascii="宋体" w:hAnsi="宋体" w:eastAsia="宋体" w:cs="宋体"/>
          <w:kern w:val="2"/>
          <w:sz w:val="18"/>
          <w:szCs w:val="18"/>
          <w:lang w:val="en-US" w:eastAsia="zh-CN" w:bidi="ar-SA"/>
        </w:rPr>
        <w:fldChar w:fldCharType="end"/>
      </w:r>
      <w:r>
        <w:rPr>
          <w:rFonts w:hint="default" w:ascii="宋体" w:hAnsi="宋体" w:eastAsia="宋体" w:cs="宋体"/>
          <w:kern w:val="2"/>
          <w:sz w:val="18"/>
          <w:szCs w:val="18"/>
          <w:lang w:val="en-US" w:eastAsia="zh-CN" w:bidi="ar-SA"/>
        </w:rPr>
        <w:t>在线设置和修改；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5、可根据告警类型、等级、时间、位置等因素按照预定规则自动将告警通知相关人员，通知方式可包括现场声光报警、电话、手机短信或E-mail等；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6、统计查询设备的历史数据、告警记录、操作记录等，打印报表；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7、提供多级管理权限，确保系统安全；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8、有完善方便的维护、查询和统计功能；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9、自动完成在网络异常时的数据保存与</w:t>
      </w:r>
      <w:r>
        <w:rPr>
          <w:rFonts w:hint="eastAsia" w:ascii="宋体" w:hAnsi="宋体" w:eastAsia="宋体" w:cs="宋体"/>
          <w:kern w:val="2"/>
          <w:sz w:val="18"/>
          <w:szCs w:val="18"/>
          <w:lang w:val="en-US" w:eastAsia="zh-CN" w:bidi="ar-SA"/>
        </w:rPr>
        <w:t>主机中保存数据的二次续传</w:t>
      </w:r>
      <w:r>
        <w:rPr>
          <w:rFonts w:hint="default" w:ascii="宋体" w:hAnsi="宋体" w:eastAsia="宋体" w:cs="宋体"/>
          <w:kern w:val="2"/>
          <w:sz w:val="18"/>
          <w:szCs w:val="18"/>
          <w:lang w:val="en-US" w:eastAsia="zh-CN" w:bidi="ar-SA"/>
        </w:rPr>
        <w:t>恢复；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10、</w:t>
      </w:r>
      <w:r>
        <w:rPr>
          <w:rFonts w:hint="eastAsia" w:ascii="宋体" w:hAnsi="宋体" w:eastAsia="宋体" w:cs="宋体"/>
          <w:kern w:val="2"/>
          <w:sz w:val="18"/>
          <w:szCs w:val="18"/>
          <w:lang w:val="en-US" w:eastAsia="zh-CN" w:bidi="ar-SA"/>
        </w:rPr>
        <w:t>系统操作日志</w:t>
      </w:r>
      <w:r>
        <w:rPr>
          <w:rFonts w:hint="default" w:ascii="宋体" w:hAnsi="宋体" w:eastAsia="宋体" w:cs="宋体"/>
          <w:kern w:val="2"/>
          <w:sz w:val="18"/>
          <w:szCs w:val="18"/>
          <w:lang w:val="en-US" w:eastAsia="zh-CN" w:bidi="ar-SA"/>
        </w:rPr>
        <w:t>查询；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11、系统可</w:t>
      </w:r>
      <w:r>
        <w:rPr>
          <w:rFonts w:hint="eastAsia" w:ascii="宋体" w:hAnsi="宋体" w:eastAsia="宋体" w:cs="宋体"/>
          <w:kern w:val="2"/>
          <w:sz w:val="18"/>
          <w:szCs w:val="18"/>
          <w:lang w:val="en-US" w:eastAsia="zh-CN" w:bidi="ar-SA"/>
        </w:rPr>
        <w:t>提示</w:t>
      </w:r>
      <w:r>
        <w:rPr>
          <w:rFonts w:hint="default" w:ascii="宋体" w:hAnsi="宋体" w:eastAsia="宋体" w:cs="宋体"/>
          <w:kern w:val="2"/>
          <w:sz w:val="18"/>
          <w:szCs w:val="18"/>
          <w:lang w:val="en-US" w:eastAsia="zh-CN" w:bidi="ar-SA"/>
        </w:rPr>
        <w:t>设备故障告警；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12、能对被监控设备相关的信息进行管理，为</w:t>
      </w:r>
      <w:r>
        <w:rPr>
          <w:rFonts w:hint="eastAsia" w:ascii="宋体" w:hAnsi="宋体" w:eastAsia="宋体" w:cs="宋体"/>
          <w:kern w:val="2"/>
          <w:sz w:val="18"/>
          <w:szCs w:val="18"/>
          <w:lang w:val="en-US" w:eastAsia="zh-CN" w:bidi="ar-SA"/>
        </w:rPr>
        <w:t>系统</w:t>
      </w:r>
      <w:r>
        <w:rPr>
          <w:rFonts w:hint="default" w:ascii="宋体" w:hAnsi="宋体" w:eastAsia="宋体" w:cs="宋体"/>
          <w:kern w:val="2"/>
          <w:sz w:val="18"/>
          <w:szCs w:val="18"/>
          <w:lang w:val="en-US" w:eastAsia="zh-CN" w:bidi="ar-SA"/>
        </w:rPr>
        <w:t>维护人员提供全方位的信息服务。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Arial" w:hAnsi="Arial" w:eastAsia="宋体" w:cs="Arial"/>
          <w:b/>
          <w:bCs/>
          <w:i w:val="0"/>
          <w:caps w:val="0"/>
          <w:color w:val="333333"/>
          <w:spacing w:val="0"/>
          <w:kern w:val="2"/>
          <w:sz w:val="21"/>
          <w:szCs w:val="21"/>
          <w:shd w:val="clear" w:fill="FFFFFF"/>
          <w:lang w:val="en-US" w:eastAsia="zh-CN" w:bidi="ar-SA"/>
        </w:rPr>
      </w:pPr>
      <w:r>
        <w:rPr>
          <w:rFonts w:hint="default" w:ascii="Arial" w:hAnsi="Arial" w:eastAsia="宋体" w:cs="Arial"/>
          <w:b/>
          <w:bCs/>
          <w:i w:val="0"/>
          <w:caps w:val="0"/>
          <w:color w:val="333333"/>
          <w:spacing w:val="0"/>
          <w:kern w:val="2"/>
          <w:sz w:val="21"/>
          <w:szCs w:val="21"/>
          <w:shd w:val="clear" w:fill="FFFFFF"/>
          <w:lang w:val="en-US" w:eastAsia="zh-CN" w:bidi="ar-SA"/>
        </w:rPr>
        <w:drawing>
          <wp:inline distT="0" distB="0" distL="114300" distR="114300">
            <wp:extent cx="5273675" cy="1785620"/>
            <wp:effectExtent l="0" t="0" r="3175" b="5080"/>
            <wp:docPr id="8" name="图片 8" descr="C87N(FTVQ)JFE3}KF_@5B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87N(FTVQ)JFE3}KF_@5BDT"/>
                    <pic:cNvPicPr>
                      <a:picLocks noChangeAspect="1"/>
                    </pic:cNvPicPr>
                  </pic:nvPicPr>
                  <pic:blipFill>
                    <a:blip r:embed="rId10"/>
                    <a:stretch>
                      <a:fillRect/>
                    </a:stretch>
                  </pic:blipFill>
                  <pic:spPr>
                    <a:xfrm>
                      <a:off x="0" y="0"/>
                      <a:ext cx="5273675" cy="178562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0"/>
        <w:rPr>
          <w:rFonts w:hint="default" w:ascii="Arial" w:hAnsi="Arial" w:eastAsia="宋体" w:cs="Arial"/>
          <w:b/>
          <w:bCs/>
          <w:i w:val="0"/>
          <w:caps w:val="0"/>
          <w:color w:val="333333"/>
          <w:spacing w:val="0"/>
          <w:kern w:val="2"/>
          <w:sz w:val="21"/>
          <w:szCs w:val="21"/>
          <w:shd w:val="clear" w:fill="FFFFFF"/>
          <w:lang w:val="en-US" w:eastAsia="zh-CN" w:bidi="ar-SA"/>
        </w:rPr>
      </w:pPr>
      <w:bookmarkStart w:id="21" w:name="_Toc581"/>
      <w:r>
        <w:rPr>
          <w:rFonts w:hint="default" w:ascii="Arial" w:hAnsi="Arial" w:eastAsia="宋体" w:cs="Arial"/>
          <w:b/>
          <w:bCs/>
          <w:i w:val="0"/>
          <w:caps w:val="0"/>
          <w:color w:val="333333"/>
          <w:spacing w:val="0"/>
          <w:kern w:val="2"/>
          <w:sz w:val="21"/>
          <w:szCs w:val="21"/>
          <w:shd w:val="clear" w:fill="FFFFFF"/>
          <w:lang w:val="en-US" w:eastAsia="zh-CN" w:bidi="ar-SA"/>
        </w:rPr>
        <w:t>结语</w:t>
      </w:r>
      <w:bookmarkEnd w:id="2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outlineLvl w:val="9"/>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通过对 CO 浓度的控制完成室内空气的调节， 提高空气质量， 同时可以较大幅度地降低电能消耗， 节约能源降低运行成本， 并延长通风设备的使用寿命。 本文对设计过程中的重难点进行分析和总结， 希望对同行能有所借鉴。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64E186"/>
    <w:multiLevelType w:val="singleLevel"/>
    <w:tmpl w:val="7464E18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26488A"/>
    <w:rsid w:val="04A763A0"/>
    <w:rsid w:val="04CD21F3"/>
    <w:rsid w:val="059904C9"/>
    <w:rsid w:val="068A0467"/>
    <w:rsid w:val="06D40866"/>
    <w:rsid w:val="08F20A6E"/>
    <w:rsid w:val="09292E2B"/>
    <w:rsid w:val="0A1C0E4B"/>
    <w:rsid w:val="0A774F31"/>
    <w:rsid w:val="0DDF2927"/>
    <w:rsid w:val="0E8C35E3"/>
    <w:rsid w:val="10B97BDC"/>
    <w:rsid w:val="127C41BD"/>
    <w:rsid w:val="12EE56B9"/>
    <w:rsid w:val="1572564B"/>
    <w:rsid w:val="15F646A8"/>
    <w:rsid w:val="178B2EF0"/>
    <w:rsid w:val="1E236B66"/>
    <w:rsid w:val="1FA45220"/>
    <w:rsid w:val="1FD41A98"/>
    <w:rsid w:val="236D61D2"/>
    <w:rsid w:val="246B7866"/>
    <w:rsid w:val="26CD0E33"/>
    <w:rsid w:val="26ED5ACC"/>
    <w:rsid w:val="27A3383D"/>
    <w:rsid w:val="27D43735"/>
    <w:rsid w:val="280D4582"/>
    <w:rsid w:val="29515166"/>
    <w:rsid w:val="2AE82DE7"/>
    <w:rsid w:val="2E6D7A9D"/>
    <w:rsid w:val="30972AC1"/>
    <w:rsid w:val="35AB5589"/>
    <w:rsid w:val="38E4105A"/>
    <w:rsid w:val="39264FE1"/>
    <w:rsid w:val="39822AD1"/>
    <w:rsid w:val="39E30492"/>
    <w:rsid w:val="39F97833"/>
    <w:rsid w:val="3CEB25DA"/>
    <w:rsid w:val="3CEE5B8C"/>
    <w:rsid w:val="41DE46F5"/>
    <w:rsid w:val="46D479D5"/>
    <w:rsid w:val="4A102A46"/>
    <w:rsid w:val="4C1943AD"/>
    <w:rsid w:val="4C9B4183"/>
    <w:rsid w:val="4F7F424F"/>
    <w:rsid w:val="4FF713D7"/>
    <w:rsid w:val="5C583DA2"/>
    <w:rsid w:val="61D47722"/>
    <w:rsid w:val="62B710B1"/>
    <w:rsid w:val="6B225EE3"/>
    <w:rsid w:val="70E50431"/>
    <w:rsid w:val="71357EDF"/>
    <w:rsid w:val="718F68C3"/>
    <w:rsid w:val="7622585A"/>
    <w:rsid w:val="78DE4E4E"/>
    <w:rsid w:val="7BA07ABB"/>
    <w:rsid w:val="7DEB6853"/>
    <w:rsid w:val="7ECD7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toc 3"/>
    <w:basedOn w:val="1"/>
    <w:next w:val="1"/>
    <w:uiPriority w:val="0"/>
    <w:pPr>
      <w:ind w:left="840" w:leftChars="400"/>
    </w:p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rPr>
      <w:sz w:val="24"/>
    </w:rPr>
  </w:style>
  <w:style w:type="table" w:styleId="9">
    <w:name w:val="Table Grid"/>
    <w:basedOn w:val="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工业环境监控设备厂家-张</cp:lastModifiedBy>
  <dcterms:modified xsi:type="dcterms:W3CDTF">2020-05-09T05:16:34Z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